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F6261" w14:textId="19C545AD" w:rsidR="0062324E" w:rsidRPr="002D549D" w:rsidRDefault="00396F8A" w:rsidP="0062324E">
      <w:pPr>
        <w:rPr>
          <w:rFonts w:ascii="ＭＳ 明朝" w:hAnsi="ＭＳ 明朝"/>
          <w:color w:val="FF0000"/>
          <w:szCs w:val="21"/>
        </w:rPr>
      </w:pPr>
      <w:r w:rsidRPr="002D2AD4">
        <w:rPr>
          <w:rFonts w:ascii="ＭＳ 明朝" w:hAnsi="ＭＳ 明朝" w:hint="eastAsia"/>
          <w:szCs w:val="21"/>
        </w:rPr>
        <w:t>１</w:t>
      </w:r>
      <w:r w:rsidR="00D87A1F" w:rsidRPr="002D549D">
        <w:rPr>
          <w:noProof/>
        </w:rPr>
        <mc:AlternateContent>
          <mc:Choice Requires="wps">
            <w:drawing>
              <wp:anchor distT="0" distB="0" distL="114300" distR="114300" simplePos="0" relativeHeight="251658240" behindDoc="0" locked="0" layoutInCell="1" allowOverlap="1" wp14:anchorId="0A82AC51" wp14:editId="143A4066">
                <wp:simplePos x="0" y="0"/>
                <wp:positionH relativeFrom="column">
                  <wp:posOffset>-7620</wp:posOffset>
                </wp:positionH>
                <wp:positionV relativeFrom="paragraph">
                  <wp:posOffset>-818515</wp:posOffset>
                </wp:positionV>
                <wp:extent cx="6278880" cy="293370"/>
                <wp:effectExtent l="0" t="0" r="0" b="0"/>
                <wp:wrapNone/>
                <wp:docPr id="17508145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293370"/>
                        </a:xfrm>
                        <a:prstGeom prst="rect">
                          <a:avLst/>
                        </a:prstGeom>
                        <a:solidFill>
                          <a:srgbClr val="FFFFFF"/>
                        </a:solidFill>
                        <a:ln w="9525">
                          <a:solidFill>
                            <a:srgbClr val="FF0000"/>
                          </a:solidFill>
                          <a:miter lim="800000"/>
                          <a:headEnd/>
                          <a:tailEnd/>
                        </a:ln>
                      </wps:spPr>
                      <wps:txbx>
                        <w:txbxContent>
                          <w:p w14:paraId="7252B7F6" w14:textId="3F9102DA" w:rsidR="009A3BFF" w:rsidRPr="00CB6E05" w:rsidRDefault="009A3BFF" w:rsidP="00010387">
                            <w:pPr>
                              <w:rPr>
                                <w:color w:val="FF0000"/>
                                <w:sz w:val="18"/>
                                <w:szCs w:val="18"/>
                              </w:rPr>
                            </w:pPr>
                            <w:r w:rsidRPr="00CB6E05">
                              <w:rPr>
                                <w:rFonts w:hint="eastAsia"/>
                                <w:color w:val="FF0000"/>
                                <w:sz w:val="18"/>
                                <w:szCs w:val="18"/>
                              </w:rPr>
                              <w:t>（２５字×４２行）×２段組　＝２１００字</w:t>
                            </w:r>
                            <w:r w:rsidRPr="00CB6E05">
                              <w:rPr>
                                <w:rFonts w:hint="eastAsia"/>
                                <w:color w:val="FF0000"/>
                                <w:sz w:val="18"/>
                                <w:szCs w:val="18"/>
                              </w:rPr>
                              <w:t>/</w:t>
                            </w:r>
                            <w:r w:rsidRPr="00CB6E05">
                              <w:rPr>
                                <w:rFonts w:hint="eastAsia"/>
                                <w:color w:val="FF0000"/>
                                <w:sz w:val="18"/>
                                <w:szCs w:val="18"/>
                              </w:rPr>
                              <w:t>１ページ　に設定してあります。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0A82AC51" id="_x0000_t202" coordsize="21600,21600" o:spt="202" path="m,l,21600r21600,l21600,xe">
                <v:stroke joinstyle="miter"/>
                <v:path gradientshapeok="t" o:connecttype="rect"/>
              </v:shapetype>
              <v:shape id="テキスト ボックス 2" o:spid="_x0000_s1026" type="#_x0000_t202" style="position:absolute;left:0;text-align:left;margin-left:-.6pt;margin-top:-64.45pt;width:494.4pt;height:2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" strokecolor="red">
                <v:textbox>
                  <w:txbxContent>
                    <w:p w14:paraId="7252B7F6" w14:textId="3F9102DA" w:rsidR="009A3BFF" w:rsidRPr="00CB6E05" w:rsidRDefault="009A3BFF" w:rsidP="00010387">
                      <w:pPr>
                        <w:rPr>
                          <w:color w:val="FF0000"/>
                          <w:sz w:val="18"/>
                          <w:szCs w:val="18"/>
                        </w:rPr>
                      </w:pPr>
                      <w:r w:rsidRPr="00CB6E05">
                        <w:rPr>
                          <w:rFonts w:hint="eastAsia"/>
                          <w:color w:val="FF0000"/>
                          <w:sz w:val="18"/>
                          <w:szCs w:val="18"/>
                        </w:rPr>
                        <w:t>（２５字×４２行）×２段組　＝２１００字</w:t>
                      </w:r>
                      <w:r w:rsidRPr="00CB6E05">
                        <w:rPr>
                          <w:rFonts w:hint="eastAsia"/>
                          <w:color w:val="FF0000"/>
                          <w:sz w:val="18"/>
                          <w:szCs w:val="18"/>
                        </w:rPr>
                        <w:t>/</w:t>
                      </w:r>
                      <w:r w:rsidRPr="00CB6E05">
                        <w:rPr>
                          <w:rFonts w:hint="eastAsia"/>
                          <w:color w:val="FF0000"/>
                          <w:sz w:val="18"/>
                          <w:szCs w:val="18"/>
                        </w:rPr>
                        <w:t>１ページ　に設定してあります。</w:t>
                      </w:r>
                    </w:p>
                  </w:txbxContent>
                </v:textbox>
              </v:shape>
            </w:pict>
          </mc:Fallback>
        </mc:AlternateContent>
      </w:r>
      <w:r w:rsidR="00D87A1F" w:rsidRPr="002D549D">
        <w:rPr>
          <w:noProof/>
          <w:sz w:val="20"/>
        </w:rPr>
        <mc:AlternateContent>
          <mc:Choice Requires="wps">
            <w:drawing>
              <wp:anchor distT="0" distB="0" distL="114300" distR="114300" simplePos="0" relativeHeight="251657216" behindDoc="0" locked="0" layoutInCell="1" allowOverlap="1" wp14:anchorId="521964E2" wp14:editId="79002591">
                <wp:simplePos x="0" y="0"/>
                <wp:positionH relativeFrom="column">
                  <wp:posOffset>6985</wp:posOffset>
                </wp:positionH>
                <wp:positionV relativeFrom="paragraph">
                  <wp:posOffset>-511810</wp:posOffset>
                </wp:positionV>
                <wp:extent cx="6278880" cy="504825"/>
                <wp:effectExtent l="0" t="0" r="0" b="0"/>
                <wp:wrapNone/>
                <wp:docPr id="4715177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504825"/>
                        </a:xfrm>
                        <a:prstGeom prst="rect">
                          <a:avLst/>
                        </a:prstGeom>
                        <a:solidFill>
                          <a:srgbClr val="FFFFFF"/>
                        </a:solidFill>
                        <a:ln w="9525">
                          <a:solidFill>
                            <a:srgbClr val="000000"/>
                          </a:solidFill>
                          <a:miter lim="800000"/>
                          <a:headEnd/>
                          <a:tailEnd/>
                        </a:ln>
                      </wps:spPr>
                      <wps:txbx>
                        <w:txbxContent>
                          <w:p w14:paraId="3C1B6FC1" w14:textId="227FC332" w:rsidR="009A3BFF" w:rsidRPr="005D01A2" w:rsidRDefault="002D549D" w:rsidP="00884C1F">
                            <w:pPr>
                              <w:rPr>
                                <w:rFonts w:ascii="ＭＳ 明朝" w:hAnsi="ＭＳ 明朝"/>
                                <w:szCs w:val="21"/>
                              </w:rPr>
                            </w:pPr>
                            <w:r>
                              <w:rPr>
                                <w:rFonts w:ascii="ＭＳ 明朝" w:hAnsi="ＭＳ 明朝"/>
                                <w:szCs w:val="21"/>
                              </w:rPr>
                              <w:t>DOAの安全衛生情報について</w:t>
                            </w:r>
                          </w:p>
                          <w:p w14:paraId="039B18BB" w14:textId="77777777" w:rsidR="009A3BFF" w:rsidRPr="00884C1F" w:rsidRDefault="009A3B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964E2" id="_x0000_t202" coordsize="21600,21600" o:spt="202" path="m,l,21600r21600,l21600,xe">
                <v:stroke joinstyle="miter"/>
                <v:path gradientshapeok="t" o:connecttype="rect"/>
              </v:shapetype>
              <v:shape id="Text Box 2" o:spid="_x0000_s1027" type="#_x0000_t202" style="position:absolute;left:0;text-align:left;margin-left:.55pt;margin-top:-40.3pt;width:494.4pt;height:3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">
                <v:textbox>
                  <w:txbxContent>
                    <w:p w14:paraId="3C1B6FC1" w14:textId="227FC332" w:rsidR="009A3BFF" w:rsidRPr="005D01A2" w:rsidRDefault="002D549D" w:rsidP="00884C1F">
                      <w:pPr>
                        <w:rPr>
                          <w:rFonts w:ascii="ＭＳ 明朝" w:hAnsi="ＭＳ 明朝" w:hint="eastAsia"/>
                          <w:szCs w:val="21"/>
                        </w:rPr>
                      </w:pPr>
                      <w:r>
                        <w:rPr>
                          <w:rFonts w:ascii="ＭＳ 明朝" w:hAnsi="ＭＳ 明朝"/>
                          <w:szCs w:val="21"/>
                        </w:rPr>
                        <w:t>DOAの安全衛生情報について</w:t>
                      </w:r>
                    </w:p>
                    <w:p w14:paraId="039B18BB" w14:textId="77777777" w:rsidR="009A3BFF" w:rsidRPr="00884C1F" w:rsidRDefault="009A3BFF"/>
                  </w:txbxContent>
                </v:textbox>
              </v:shape>
            </w:pict>
          </mc:Fallback>
        </mc:AlternateContent>
      </w:r>
      <w:r w:rsidR="0062324E" w:rsidRPr="002D549D">
        <w:rPr>
          <w:rFonts w:ascii="ＭＳ 明朝" w:hAnsi="ＭＳ 明朝" w:hint="eastAsia"/>
          <w:szCs w:val="21"/>
        </w:rPr>
        <w:t>．はじめに</w:t>
      </w:r>
    </w:p>
    <w:p w14:paraId="2FCF13A2" w14:textId="0B3A4FE0" w:rsidR="00AB2D3C" w:rsidRPr="00AB2D3C" w:rsidRDefault="00AB2D3C" w:rsidP="0062324E">
      <w:pPr>
        <w:ind w:firstLineChars="100" w:firstLine="192"/>
        <w:rPr>
          <w:rFonts w:ascii="ＭＳ 明朝" w:hAnsi="ＭＳ 明朝" w:cs="Arial"/>
          <w:shd w:val="clear" w:color="auto" w:fill="FFFFFF"/>
        </w:rPr>
      </w:pPr>
      <w:r w:rsidRPr="00AB2D3C">
        <w:rPr>
          <w:rFonts w:ascii="ＭＳ 明朝" w:hAnsi="ＭＳ 明朝" w:cs="Arial" w:hint="eastAsia"/>
          <w:shd w:val="clear" w:color="auto" w:fill="FFFFFF"/>
        </w:rPr>
        <w:t>今回は、</w:t>
      </w:r>
      <w:r>
        <w:rPr>
          <w:rFonts w:ascii="ＭＳ 明朝" w:hAnsi="ＭＳ 明朝" w:cs="Arial" w:hint="eastAsia"/>
          <w:shd w:val="clear" w:color="auto" w:fill="FFFFFF"/>
        </w:rPr>
        <w:t>DOA(</w:t>
      </w:r>
      <w:r w:rsidRPr="00AB2D3C">
        <w:rPr>
          <w:rFonts w:ascii="ＭＳ 明朝" w:hAnsi="ＭＳ 明朝" w:cs="Arial" w:hint="eastAsia"/>
          <w:shd w:val="clear" w:color="auto" w:fill="FFFFFF"/>
        </w:rPr>
        <w:t>アジピン酸ジ(2-エチルヘキシル)</w:t>
      </w:r>
      <w:r>
        <w:rPr>
          <w:rFonts w:ascii="ＭＳ 明朝" w:hAnsi="ＭＳ 明朝" w:cs="Arial" w:hint="eastAsia"/>
          <w:shd w:val="clear" w:color="auto" w:fill="FFFFFF"/>
        </w:rPr>
        <w:t>)</w:t>
      </w:r>
      <w:r w:rsidRPr="00AB2D3C">
        <w:rPr>
          <w:rFonts w:ascii="ＭＳ 明朝" w:hAnsi="ＭＳ 明朝" w:cs="Arial" w:hint="eastAsia"/>
          <w:shd w:val="clear" w:color="auto" w:fill="FFFFFF"/>
        </w:rPr>
        <w:t>の最近の安全衛生情報について述べさせていただきます。</w:t>
      </w:r>
    </w:p>
    <w:p w14:paraId="106B9536" w14:textId="0A47F144" w:rsidR="00AB2D3C" w:rsidRPr="00AB2D3C" w:rsidRDefault="00AB2D3C" w:rsidP="00AB2D3C">
      <w:pPr>
        <w:rPr>
          <w:rFonts w:ascii="ＭＳ 明朝" w:hAnsi="ＭＳ 明朝" w:cs="Arial"/>
          <w:shd w:val="clear" w:color="auto" w:fill="FFFFFF"/>
        </w:rPr>
      </w:pPr>
    </w:p>
    <w:p w14:paraId="30C7E93F" w14:textId="77777777" w:rsidR="00AB2D3C" w:rsidRPr="008F3B79" w:rsidRDefault="00AB2D3C" w:rsidP="00AB2D3C">
      <w:pPr>
        <w:rPr>
          <w:rFonts w:ascii="ＭＳ 明朝" w:hAnsi="ＭＳ 明朝" w:cs="Arial"/>
          <w:shd w:val="clear" w:color="auto" w:fill="FFFFFF"/>
        </w:rPr>
      </w:pPr>
      <w:r w:rsidRPr="008F3B79">
        <w:rPr>
          <w:rFonts w:ascii="ＭＳ 明朝" w:hAnsi="ＭＳ 明朝" w:cs="Arial" w:hint="eastAsia"/>
          <w:shd w:val="clear" w:color="auto" w:fill="FFFFFF"/>
        </w:rPr>
        <w:t>２．化管法におけるDOA</w:t>
      </w:r>
    </w:p>
    <w:p w14:paraId="65F899F4" w14:textId="6E32BDD5" w:rsidR="008F3B79" w:rsidRPr="008F3B79" w:rsidRDefault="00AB2D3C" w:rsidP="00AB2D3C">
      <w:pPr>
        <w:ind w:firstLineChars="100" w:firstLine="192"/>
        <w:rPr>
          <w:rFonts w:ascii="ＭＳ 明朝" w:hAnsi="ＭＳ 明朝" w:cs="Arial"/>
          <w:shd w:val="clear" w:color="auto" w:fill="FFFFFF"/>
        </w:rPr>
      </w:pPr>
      <w:r w:rsidRPr="008F3B79">
        <w:rPr>
          <w:rFonts w:ascii="ＭＳ 明朝" w:hAnsi="ＭＳ 明朝" w:cs="Arial" w:hint="eastAsia"/>
          <w:shd w:val="clear" w:color="auto" w:fill="FFFFFF"/>
        </w:rPr>
        <w:t>DOAは化管法(化学物質排出把握管理促進法)において、</w:t>
      </w:r>
      <w:r w:rsidR="008F3B79" w:rsidRPr="008F3B79">
        <w:rPr>
          <w:rFonts w:ascii="ＭＳ 明朝" w:hAnsi="ＭＳ 明朝" w:cs="Arial" w:hint="eastAsia"/>
          <w:shd w:val="clear" w:color="auto" w:fill="FFFFFF"/>
        </w:rPr>
        <w:t>2023年</w:t>
      </w:r>
      <w:r w:rsidR="008F3B79">
        <w:rPr>
          <w:rFonts w:ascii="ＭＳ 明朝" w:hAnsi="ＭＳ 明朝" w:cs="Arial" w:hint="eastAsia"/>
          <w:shd w:val="clear" w:color="auto" w:fill="FFFFFF"/>
        </w:rPr>
        <w:t>(令和5年)</w:t>
      </w:r>
      <w:r w:rsidR="008F3B79" w:rsidRPr="008F3B79">
        <w:rPr>
          <w:rFonts w:ascii="ＭＳ 明朝" w:hAnsi="ＭＳ 明朝" w:cs="Arial" w:hint="eastAsia"/>
          <w:shd w:val="clear" w:color="auto" w:fill="FFFFFF"/>
        </w:rPr>
        <w:t>4月1日より第一種指定化学物質に指定されています。</w:t>
      </w:r>
    </w:p>
    <w:p w14:paraId="24BBC972" w14:textId="222DC2FA" w:rsidR="002703B5" w:rsidRDefault="002703B5" w:rsidP="00AB2D3C">
      <w:pPr>
        <w:ind w:firstLineChars="100" w:firstLine="192"/>
        <w:rPr>
          <w:rFonts w:ascii="ＭＳ 明朝" w:hAnsi="ＭＳ 明朝" w:cs="Arial"/>
          <w:shd w:val="clear" w:color="auto" w:fill="FFFFFF"/>
        </w:rPr>
      </w:pPr>
      <w:r>
        <w:rPr>
          <w:rFonts w:ascii="ＭＳ 明朝" w:hAnsi="ＭＳ 明朝" w:cs="Arial" w:hint="eastAsia"/>
          <w:shd w:val="clear" w:color="auto" w:fill="FFFFFF"/>
        </w:rPr>
        <w:t>化管法施行時(平成12年)おいて、DOAは第一種指定化学物質に指定されていました。その後平成20年の見直しでは、除外されるという経緯がありました。これはDOAのハザードが化管法の選定基準ではクラス外にあたり、総合的にはDOAのリスクとしては、第一種指定化学物質からの除外が適切であると判断されたためと考えています。</w:t>
      </w:r>
    </w:p>
    <w:p w14:paraId="136F524A" w14:textId="205C15AB" w:rsidR="008F3B79" w:rsidRDefault="002703B5" w:rsidP="002703B5">
      <w:pPr>
        <w:ind w:firstLineChars="100" w:firstLine="192"/>
        <w:rPr>
          <w:rFonts w:ascii="ＭＳ 明朝" w:hAnsi="ＭＳ 明朝" w:cs="Arial"/>
          <w:shd w:val="clear" w:color="auto" w:fill="FFFFFF"/>
        </w:rPr>
      </w:pPr>
      <w:r>
        <w:rPr>
          <w:rFonts w:ascii="ＭＳ 明朝" w:hAnsi="ＭＳ 明朝" w:cs="Arial" w:hint="eastAsia"/>
          <w:shd w:val="clear" w:color="auto" w:fill="FFFFFF"/>
        </w:rPr>
        <w:t>さらにその後</w:t>
      </w:r>
      <w:r w:rsidR="00EB1A89">
        <w:rPr>
          <w:rFonts w:ascii="ＭＳ 明朝" w:hAnsi="ＭＳ 明朝" w:cs="Arial" w:hint="eastAsia"/>
          <w:shd w:val="clear" w:color="auto" w:fill="FFFFFF"/>
        </w:rPr>
        <w:t>令和3年に化管法が改正となっています。こ</w:t>
      </w:r>
      <w:r>
        <w:rPr>
          <w:rFonts w:ascii="ＭＳ 明朝" w:hAnsi="ＭＳ 明朝" w:cs="Arial" w:hint="eastAsia"/>
          <w:shd w:val="clear" w:color="auto" w:fill="FFFFFF"/>
        </w:rPr>
        <w:t>の</w:t>
      </w:r>
      <w:r w:rsidR="00EB1A89">
        <w:rPr>
          <w:rFonts w:ascii="ＭＳ 明朝" w:hAnsi="ＭＳ 明朝" w:cs="Arial" w:hint="eastAsia"/>
          <w:shd w:val="clear" w:color="auto" w:fill="FFFFFF"/>
        </w:rPr>
        <w:t>改正</w:t>
      </w:r>
      <w:r>
        <w:rPr>
          <w:rFonts w:ascii="ＭＳ 明朝" w:hAnsi="ＭＳ 明朝" w:cs="Arial" w:hint="eastAsia"/>
          <w:shd w:val="clear" w:color="auto" w:fill="FFFFFF"/>
        </w:rPr>
        <w:t>において</w:t>
      </w:r>
      <w:r w:rsidR="00EB1A89">
        <w:rPr>
          <w:rFonts w:ascii="ＭＳ 明朝" w:hAnsi="ＭＳ 明朝" w:cs="Arial" w:hint="eastAsia"/>
          <w:shd w:val="clear" w:color="auto" w:fill="FFFFFF"/>
        </w:rPr>
        <w:t>は事前に</w:t>
      </w:r>
      <w:r w:rsidR="00C93560">
        <w:rPr>
          <w:rFonts w:ascii="ＭＳ 明朝" w:hAnsi="ＭＳ 明朝" w:cs="Arial" w:hint="eastAsia"/>
          <w:shd w:val="clear" w:color="auto" w:fill="FFFFFF"/>
        </w:rPr>
        <w:t>国の関連する</w:t>
      </w:r>
      <w:r w:rsidR="00897F9C">
        <w:rPr>
          <w:rFonts w:ascii="ＭＳ 明朝" w:hAnsi="ＭＳ 明朝" w:cs="Arial" w:hint="eastAsia"/>
          <w:shd w:val="clear" w:color="auto" w:fill="FFFFFF"/>
        </w:rPr>
        <w:t>合同</w:t>
      </w:r>
      <w:r w:rsidR="00C93560">
        <w:rPr>
          <w:rFonts w:ascii="ＭＳ 明朝" w:hAnsi="ＭＳ 明朝" w:cs="Arial" w:hint="eastAsia"/>
          <w:shd w:val="clear" w:color="auto" w:fill="FFFFFF"/>
        </w:rPr>
        <w:t>会合で</w:t>
      </w:r>
      <w:r w:rsidR="00EB1A89">
        <w:rPr>
          <w:rFonts w:ascii="ＭＳ 明朝" w:hAnsi="ＭＳ 明朝" w:cs="Arial" w:hint="eastAsia"/>
          <w:shd w:val="clear" w:color="auto" w:fill="FFFFFF"/>
        </w:rPr>
        <w:t>対象物質の見直し</w:t>
      </w:r>
      <w:r w:rsidR="00897F9C">
        <w:rPr>
          <w:rFonts w:ascii="ＭＳ 明朝" w:hAnsi="ＭＳ 明朝" w:cs="Arial" w:hint="eastAsia"/>
          <w:shd w:val="clear" w:color="auto" w:fill="FFFFFF"/>
        </w:rPr>
        <w:t>検討が行われ</w:t>
      </w:r>
      <w:r w:rsidR="00EB1A89">
        <w:rPr>
          <w:rFonts w:ascii="ＭＳ 明朝" w:hAnsi="ＭＳ 明朝" w:cs="Arial" w:hint="eastAsia"/>
          <w:shd w:val="clear" w:color="auto" w:fill="FFFFFF"/>
        </w:rPr>
        <w:t>ており</w:t>
      </w:r>
      <w:r w:rsidR="00264BC5">
        <w:rPr>
          <w:rFonts w:ascii="ＭＳ 明朝" w:hAnsi="ＭＳ 明朝" w:cs="Arial" w:hint="eastAsia"/>
          <w:shd w:val="clear" w:color="auto" w:fill="FFFFFF"/>
        </w:rPr>
        <w:t>、</w:t>
      </w:r>
      <w:r w:rsidR="00897F9C">
        <w:rPr>
          <w:rFonts w:ascii="ＭＳ 明朝" w:hAnsi="ＭＳ 明朝" w:cs="Arial" w:hint="eastAsia"/>
          <w:shd w:val="clear" w:color="auto" w:fill="FFFFFF"/>
        </w:rPr>
        <w:t>令和2年2月に見直し案が発表され</w:t>
      </w:r>
      <w:r>
        <w:rPr>
          <w:rFonts w:ascii="ＭＳ 明朝" w:hAnsi="ＭＳ 明朝" w:cs="Arial" w:hint="eastAsia"/>
          <w:shd w:val="clear" w:color="auto" w:fill="FFFFFF"/>
        </w:rPr>
        <w:t>ていました</w:t>
      </w:r>
      <w:r w:rsidR="00897F9C">
        <w:rPr>
          <w:rFonts w:ascii="ＭＳ 明朝" w:hAnsi="ＭＳ 明朝" w:cs="Arial" w:hint="eastAsia"/>
          <w:shd w:val="clear" w:color="auto" w:fill="FFFFFF"/>
        </w:rPr>
        <w:t>が、</w:t>
      </w:r>
      <w:r w:rsidR="00264BC5">
        <w:rPr>
          <w:rFonts w:ascii="ＭＳ 明朝" w:hAnsi="ＭＳ 明朝" w:cs="Arial" w:hint="eastAsia"/>
          <w:shd w:val="clear" w:color="auto" w:fill="FFFFFF"/>
        </w:rPr>
        <w:t>この中で</w:t>
      </w:r>
      <w:r w:rsidR="00897F9C">
        <w:rPr>
          <w:rFonts w:ascii="ＭＳ 明朝" w:hAnsi="ＭＳ 明朝" w:cs="Arial" w:hint="eastAsia"/>
          <w:shd w:val="clear" w:color="auto" w:fill="FFFFFF"/>
        </w:rPr>
        <w:t>DOAが</w:t>
      </w:r>
      <w:r w:rsidR="00C05346">
        <w:rPr>
          <w:rFonts w:ascii="ＭＳ 明朝" w:hAnsi="ＭＳ 明朝" w:cs="Arial" w:hint="eastAsia"/>
          <w:shd w:val="clear" w:color="auto" w:fill="FFFFFF"/>
        </w:rPr>
        <w:t>第一種指定化学物質の</w:t>
      </w:r>
      <w:r w:rsidR="00CD1932">
        <w:rPr>
          <w:rFonts w:ascii="ＭＳ 明朝" w:hAnsi="ＭＳ 明朝" w:cs="Arial" w:hint="eastAsia"/>
          <w:shd w:val="clear" w:color="auto" w:fill="FFFFFF"/>
        </w:rPr>
        <w:t>候補として挙げられ</w:t>
      </w:r>
      <w:r w:rsidR="00C05346">
        <w:rPr>
          <w:rFonts w:ascii="ＭＳ 明朝" w:hAnsi="ＭＳ 明朝" w:cs="Arial" w:hint="eastAsia"/>
          <w:shd w:val="clear" w:color="auto" w:fill="FFFFFF"/>
        </w:rPr>
        <w:t>ました。</w:t>
      </w:r>
      <w:r w:rsidR="00EB1A89">
        <w:rPr>
          <w:rFonts w:ascii="ＭＳ 明朝" w:hAnsi="ＭＳ 明朝" w:cs="Arial" w:hint="eastAsia"/>
          <w:shd w:val="clear" w:color="auto" w:fill="FFFFFF"/>
        </w:rPr>
        <w:t>候補選定の</w:t>
      </w:r>
      <w:r w:rsidR="00C05346">
        <w:rPr>
          <w:rFonts w:ascii="ＭＳ 明朝" w:hAnsi="ＭＳ 明朝" w:cs="Arial" w:hint="eastAsia"/>
          <w:shd w:val="clear" w:color="auto" w:fill="FFFFFF"/>
        </w:rPr>
        <w:t>背景として</w:t>
      </w:r>
      <w:r w:rsidR="00EB1A89">
        <w:rPr>
          <w:rFonts w:ascii="ＭＳ 明朝" w:hAnsi="ＭＳ 明朝" w:cs="Arial" w:hint="eastAsia"/>
          <w:shd w:val="clear" w:color="auto" w:fill="FFFFFF"/>
        </w:rPr>
        <w:t>は</w:t>
      </w:r>
      <w:r w:rsidR="00C05346">
        <w:rPr>
          <w:rFonts w:ascii="ＭＳ 明朝" w:hAnsi="ＭＳ 明朝" w:cs="Arial" w:hint="eastAsia"/>
          <w:shd w:val="clear" w:color="auto" w:fill="FFFFFF"/>
        </w:rPr>
        <w:t>、DOAの生態毒性</w:t>
      </w:r>
      <w:r w:rsidR="00CD1932">
        <w:rPr>
          <w:rFonts w:ascii="ＭＳ 明朝" w:hAnsi="ＭＳ 明朝" w:cs="Arial" w:hint="eastAsia"/>
          <w:shd w:val="clear" w:color="auto" w:fill="FFFFFF"/>
        </w:rPr>
        <w:t>によるものとされていました。</w:t>
      </w:r>
    </w:p>
    <w:p w14:paraId="27DF0C6E" w14:textId="3AB91650" w:rsidR="00CD1987" w:rsidRDefault="00CD1987" w:rsidP="00CD1987">
      <w:pPr>
        <w:rPr>
          <w:rFonts w:ascii="ＭＳ 明朝" w:hAnsi="ＭＳ 明朝" w:cs="Arial"/>
          <w:shd w:val="clear" w:color="auto" w:fill="FFFFFF"/>
        </w:rPr>
      </w:pPr>
    </w:p>
    <w:p w14:paraId="6999D02E" w14:textId="7BE60589" w:rsidR="00CD1987" w:rsidRDefault="00CD1987" w:rsidP="00CD1987">
      <w:pPr>
        <w:rPr>
          <w:rFonts w:ascii="ＭＳ 明朝" w:hAnsi="ＭＳ 明朝" w:cs="Arial"/>
          <w:shd w:val="clear" w:color="auto" w:fill="FFFFFF"/>
        </w:rPr>
      </w:pPr>
      <w:r>
        <w:rPr>
          <w:rFonts w:ascii="ＭＳ 明朝" w:hAnsi="ＭＳ 明朝" w:cs="Arial" w:hint="eastAsia"/>
          <w:shd w:val="clear" w:color="auto" w:fill="FFFFFF"/>
        </w:rPr>
        <w:t>表1.化管法と化管法におけるDOAの扱いの経緯</w:t>
      </w:r>
    </w:p>
    <w:p w14:paraId="464E2721" w14:textId="4D820BD4" w:rsidR="00CD1987" w:rsidRDefault="00CD1987" w:rsidP="00CD1987">
      <w:pPr>
        <w:rPr>
          <w:rFonts w:ascii="ＭＳ 明朝" w:hAnsi="ＭＳ 明朝" w:cs="Arial"/>
          <w:shd w:val="clear" w:color="auto" w:fill="FFFFFF"/>
        </w:rPr>
      </w:pPr>
      <w:r w:rsidRPr="00CD1987">
        <w:rPr>
          <w:noProof/>
        </w:rPr>
        <w:drawing>
          <wp:inline distT="0" distB="0" distL="0" distR="0" wp14:anchorId="7A64F58B" wp14:editId="05A4A9C4">
            <wp:extent cx="3052445" cy="722826"/>
            <wp:effectExtent l="0" t="0" r="0" b="127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2445" cy="722826"/>
                    </a:xfrm>
                    <a:prstGeom prst="rect">
                      <a:avLst/>
                    </a:prstGeom>
                    <a:noFill/>
                    <a:ln>
                      <a:noFill/>
                    </a:ln>
                  </pic:spPr>
                </pic:pic>
              </a:graphicData>
            </a:graphic>
          </wp:inline>
        </w:drawing>
      </w:r>
    </w:p>
    <w:p w14:paraId="156E235C" w14:textId="77777777" w:rsidR="00CD1987" w:rsidRPr="00434104" w:rsidRDefault="00CD1987" w:rsidP="00CD1987">
      <w:pPr>
        <w:rPr>
          <w:rFonts w:ascii="ＭＳ 明朝" w:hAnsi="ＭＳ 明朝" w:cs="Arial"/>
          <w:shd w:val="clear" w:color="auto" w:fill="FFFFFF"/>
        </w:rPr>
      </w:pPr>
    </w:p>
    <w:p w14:paraId="452DD4C6" w14:textId="27DD2B73" w:rsidR="00CD1987" w:rsidRPr="00434104" w:rsidRDefault="00434104" w:rsidP="00CD1987">
      <w:pPr>
        <w:rPr>
          <w:rFonts w:ascii="ＭＳ 明朝" w:hAnsi="ＭＳ 明朝" w:cs="Arial"/>
          <w:shd w:val="clear" w:color="auto" w:fill="FFFFFF"/>
        </w:rPr>
      </w:pPr>
      <w:r w:rsidRPr="00434104">
        <w:rPr>
          <w:rFonts w:ascii="ＭＳ 明朝" w:hAnsi="ＭＳ 明朝" w:cs="Arial" w:hint="eastAsia"/>
          <w:shd w:val="clear" w:color="auto" w:fill="FFFFFF"/>
        </w:rPr>
        <w:t>令和における見直しについて合同会合の報告書によれば</w:t>
      </w:r>
      <w:r w:rsidR="00CD1987" w:rsidRPr="00434104">
        <w:rPr>
          <w:rFonts w:ascii="ＭＳ 明朝" w:hAnsi="ＭＳ 明朝" w:cs="Arial" w:hint="eastAsia"/>
          <w:shd w:val="clear" w:color="auto" w:fill="FFFFFF"/>
        </w:rPr>
        <w:t>指定化学物質の選定基準は平成20年の基準と変わらない</w:t>
      </w:r>
      <w:r w:rsidRPr="00434104">
        <w:rPr>
          <w:rFonts w:ascii="ＭＳ 明朝" w:hAnsi="ＭＳ 明朝" w:cs="Arial" w:hint="eastAsia"/>
          <w:shd w:val="clear" w:color="auto" w:fill="FFFFFF"/>
        </w:rPr>
        <w:t>とのことでありました。また平成20年以降でDOAの新たな生態毒性に関する情報が見つかった訳ではありません。</w:t>
      </w:r>
      <w:r w:rsidR="007F5197">
        <w:rPr>
          <w:rFonts w:ascii="ＭＳ 明朝" w:hAnsi="ＭＳ 明朝" w:cs="Arial" w:hint="eastAsia"/>
          <w:shd w:val="clear" w:color="auto" w:fill="FFFFFF"/>
        </w:rPr>
        <w:t>基準は変わらない一方で新たな毒性データが見つからない中での再指定は疑問が残る</w:t>
      </w:r>
      <w:r w:rsidRPr="00434104">
        <w:rPr>
          <w:rFonts w:ascii="ＭＳ 明朝" w:hAnsi="ＭＳ 明朝" w:cs="Arial" w:hint="eastAsia"/>
          <w:shd w:val="clear" w:color="auto" w:fill="FFFFFF"/>
        </w:rPr>
        <w:t>事から可塑剤工業会としては、第一種指定化学物質の指定に対して意見具申(指定から除外)していましたが、残念ながら第一種指定化学物質の指定は覆りませんでした。</w:t>
      </w:r>
    </w:p>
    <w:p w14:paraId="19E312DF" w14:textId="3757C6AF" w:rsidR="00CD1987" w:rsidRPr="002A18C5" w:rsidRDefault="00CD1987" w:rsidP="00CD1987">
      <w:pPr>
        <w:rPr>
          <w:rFonts w:ascii="ＭＳ 明朝" w:hAnsi="ＭＳ 明朝" w:cs="Arial"/>
          <w:shd w:val="clear" w:color="auto" w:fill="FFFFFF"/>
        </w:rPr>
      </w:pPr>
    </w:p>
    <w:p w14:paraId="3D6E00F7" w14:textId="001CAC1B" w:rsidR="00CD1987" w:rsidRDefault="00434104" w:rsidP="00CD1987">
      <w:pPr>
        <w:rPr>
          <w:rFonts w:ascii="ＭＳ 明朝" w:hAnsi="ＭＳ 明朝" w:cs="Arial"/>
          <w:shd w:val="clear" w:color="auto" w:fill="FFFFFF"/>
        </w:rPr>
      </w:pPr>
      <w:r w:rsidRPr="002A18C5">
        <w:rPr>
          <w:rFonts w:ascii="ＭＳ 明朝" w:hAnsi="ＭＳ 明朝" w:cs="Arial" w:hint="eastAsia"/>
          <w:shd w:val="clear" w:color="auto" w:fill="FFFFFF"/>
        </w:rPr>
        <w:t>３．</w:t>
      </w:r>
      <w:r w:rsidR="007F5197" w:rsidRPr="002A18C5">
        <w:rPr>
          <w:rFonts w:ascii="ＭＳ 明朝" w:hAnsi="ＭＳ 明朝" w:cs="Arial" w:hint="eastAsia"/>
          <w:shd w:val="clear" w:color="auto" w:fill="FFFFFF"/>
        </w:rPr>
        <w:t>DOAのGHS分類</w:t>
      </w:r>
    </w:p>
    <w:p w14:paraId="67034240" w14:textId="7942FD03" w:rsidR="008A399E" w:rsidRPr="002A18C5" w:rsidRDefault="008A399E" w:rsidP="00CD1987">
      <w:pPr>
        <w:rPr>
          <w:rFonts w:ascii="ＭＳ 明朝" w:hAnsi="ＭＳ 明朝" w:cs="Arial"/>
          <w:shd w:val="clear" w:color="auto" w:fill="FFFFFF"/>
        </w:rPr>
      </w:pPr>
      <w:r>
        <w:rPr>
          <w:rFonts w:ascii="ＭＳ 明朝" w:hAnsi="ＭＳ 明朝" w:cs="Arial" w:hint="eastAsia"/>
          <w:shd w:val="clear" w:color="auto" w:fill="FFFFFF"/>
        </w:rPr>
        <w:t xml:space="preserve">  NITEによるGHS分類</w:t>
      </w:r>
    </w:p>
    <w:p w14:paraId="32394D87" w14:textId="7513B958" w:rsidR="008F3B79" w:rsidRDefault="002A18C5" w:rsidP="00AB2D3C">
      <w:pPr>
        <w:ind w:firstLineChars="100" w:firstLine="192"/>
        <w:rPr>
          <w:rFonts w:ascii="ＭＳ 明朝" w:hAnsi="ＭＳ 明朝" w:cs="Arial"/>
          <w:shd w:val="clear" w:color="auto" w:fill="FFFFFF"/>
        </w:rPr>
      </w:pPr>
      <w:r w:rsidRPr="002A18C5">
        <w:rPr>
          <w:rFonts w:ascii="ＭＳ 明朝" w:hAnsi="ＭＳ 明朝" w:cs="Arial" w:hint="eastAsia"/>
          <w:shd w:val="clear" w:color="auto" w:fill="FFFFFF"/>
        </w:rPr>
        <w:t>製品の安全衛生情報の一つとして、GHS分類があります。</w:t>
      </w:r>
      <w:r>
        <w:rPr>
          <w:rFonts w:ascii="ＭＳ 明朝" w:hAnsi="ＭＳ 明朝" w:cs="Arial" w:hint="eastAsia"/>
          <w:shd w:val="clear" w:color="auto" w:fill="FFFFFF"/>
        </w:rPr>
        <w:t>GHS分類についてはNITE(独立行政法人製品評価技術基盤機構)</w:t>
      </w:r>
      <w:r w:rsidR="00D43898">
        <w:rPr>
          <w:rFonts w:ascii="ＭＳ 明朝" w:hAnsi="ＭＳ 明朝" w:cs="Arial" w:hint="eastAsia"/>
          <w:shd w:val="clear" w:color="auto" w:fill="FFFFFF"/>
        </w:rPr>
        <w:t>により様々な化学物質の分類が公表されており、関係者が参照して</w:t>
      </w:r>
      <w:r w:rsidR="000B1640">
        <w:rPr>
          <w:rFonts w:ascii="ＭＳ 明朝" w:hAnsi="ＭＳ 明朝" w:cs="Arial" w:hint="eastAsia"/>
          <w:shd w:val="clear" w:color="auto" w:fill="FFFFFF"/>
        </w:rPr>
        <w:t>います。</w:t>
      </w:r>
    </w:p>
    <w:p w14:paraId="5EB39112" w14:textId="48BC0806" w:rsidR="000B1640" w:rsidRPr="002A18C5" w:rsidRDefault="001E5A81" w:rsidP="00AB2D3C">
      <w:pPr>
        <w:ind w:firstLineChars="100" w:firstLine="192"/>
        <w:rPr>
          <w:rFonts w:ascii="ＭＳ 明朝" w:hAnsi="ＭＳ 明朝" w:cs="Arial"/>
          <w:shd w:val="clear" w:color="auto" w:fill="FFFFFF"/>
        </w:rPr>
      </w:pPr>
      <w:r>
        <w:rPr>
          <w:rFonts w:ascii="ＭＳ 明朝" w:hAnsi="ＭＳ 明朝" w:cs="Arial" w:hint="eastAsia"/>
          <w:shd w:val="clear" w:color="auto" w:fill="FFFFFF"/>
        </w:rPr>
        <w:t>GHS分類においては毒性のレベルにより区分が設定さ</w:t>
      </w:r>
      <w:r>
        <w:rPr>
          <w:rFonts w:ascii="ＭＳ 明朝" w:hAnsi="ＭＳ 明朝" w:cs="Arial" w:hint="eastAsia"/>
          <w:shd w:val="clear" w:color="auto" w:fill="FFFFFF"/>
        </w:rPr>
        <w:t>れ、区分によってはSDSや製品ラベルに区分の記載、絵表示の添付が</w:t>
      </w:r>
      <w:r w:rsidR="001A253F">
        <w:rPr>
          <w:rFonts w:ascii="ＭＳ 明朝" w:hAnsi="ＭＳ 明朝" w:cs="Arial" w:hint="eastAsia"/>
          <w:shd w:val="clear" w:color="auto" w:fill="FFFFFF"/>
        </w:rPr>
        <w:t>必要となります。</w:t>
      </w:r>
    </w:p>
    <w:p w14:paraId="7ECBD92B" w14:textId="77777777" w:rsidR="00D43898" w:rsidRDefault="001A253F" w:rsidP="00AB2D3C">
      <w:pPr>
        <w:ind w:firstLineChars="100" w:firstLine="192"/>
        <w:rPr>
          <w:rFonts w:ascii="ＭＳ 明朝" w:hAnsi="ＭＳ 明朝" w:cs="Arial"/>
          <w:shd w:val="clear" w:color="auto" w:fill="FFFFFF"/>
        </w:rPr>
      </w:pPr>
      <w:r w:rsidRPr="008653A4">
        <w:rPr>
          <w:rFonts w:ascii="ＭＳ 明朝" w:hAnsi="ＭＳ 明朝" w:cs="Arial" w:hint="eastAsia"/>
          <w:shd w:val="clear" w:color="auto" w:fill="FFFFFF"/>
        </w:rPr>
        <w:t>DOAは従来、GHS分類が付与されていませんでした。しかしながら</w:t>
      </w:r>
      <w:r w:rsidR="00D43898">
        <w:rPr>
          <w:rFonts w:ascii="ＭＳ 明朝" w:hAnsi="ＭＳ 明朝" w:cs="Arial" w:hint="eastAsia"/>
          <w:shd w:val="clear" w:color="auto" w:fill="FFFFFF"/>
        </w:rPr>
        <w:t>NITEによるGHS分類では2021年、2022年に表2のような区分が付与されました。</w:t>
      </w:r>
    </w:p>
    <w:p w14:paraId="4777A0EB" w14:textId="6B461FFC" w:rsidR="00430BC5" w:rsidRDefault="00430BC5" w:rsidP="00430BC5">
      <w:pPr>
        <w:rPr>
          <w:rFonts w:ascii="ＭＳ 明朝" w:hAnsi="ＭＳ 明朝" w:cs="Arial"/>
          <w:shd w:val="clear" w:color="auto" w:fill="FFFFFF"/>
        </w:rPr>
      </w:pPr>
    </w:p>
    <w:p w14:paraId="7C460878" w14:textId="1D6AC909" w:rsidR="00430BC5" w:rsidRDefault="00430BC5" w:rsidP="00430BC5">
      <w:pPr>
        <w:rPr>
          <w:rFonts w:ascii="ＭＳ 明朝" w:hAnsi="ＭＳ 明朝" w:cs="Arial"/>
          <w:shd w:val="clear" w:color="auto" w:fill="FFFFFF"/>
        </w:rPr>
      </w:pPr>
      <w:r>
        <w:rPr>
          <w:rFonts w:ascii="ＭＳ 明朝" w:hAnsi="ＭＳ 明朝" w:cs="Arial" w:hint="eastAsia"/>
          <w:shd w:val="clear" w:color="auto" w:fill="FFFFFF"/>
        </w:rPr>
        <w:t>表2.NITEによるDOAのGHS分類(区分があるもの)</w:t>
      </w:r>
    </w:p>
    <w:p w14:paraId="2433A90A" w14:textId="7B8AACE3" w:rsidR="00D43898" w:rsidRDefault="00041BAB" w:rsidP="00430BC5">
      <w:pPr>
        <w:rPr>
          <w:rFonts w:ascii="ＭＳ 明朝" w:hAnsi="ＭＳ 明朝" w:cs="Arial"/>
          <w:shd w:val="clear" w:color="auto" w:fill="FFFFFF"/>
        </w:rPr>
      </w:pPr>
      <w:r w:rsidRPr="00041BAB">
        <w:rPr>
          <w:noProof/>
        </w:rPr>
        <w:drawing>
          <wp:inline distT="0" distB="0" distL="0" distR="0" wp14:anchorId="52A143B5" wp14:editId="5C31755C">
            <wp:extent cx="3052445" cy="2747201"/>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2445" cy="2747201"/>
                    </a:xfrm>
                    <a:prstGeom prst="rect">
                      <a:avLst/>
                    </a:prstGeom>
                    <a:noFill/>
                    <a:ln>
                      <a:noFill/>
                    </a:ln>
                  </pic:spPr>
                </pic:pic>
              </a:graphicData>
            </a:graphic>
          </wp:inline>
        </w:drawing>
      </w:r>
    </w:p>
    <w:p w14:paraId="783524AE" w14:textId="29CD0F10" w:rsidR="00430BC5" w:rsidRDefault="00430BC5" w:rsidP="00430BC5">
      <w:pPr>
        <w:rPr>
          <w:rFonts w:ascii="ＭＳ 明朝" w:hAnsi="ＭＳ 明朝" w:cs="Arial"/>
          <w:shd w:val="clear" w:color="auto" w:fill="FFFFFF"/>
        </w:rPr>
      </w:pPr>
    </w:p>
    <w:p w14:paraId="3AC7A95C" w14:textId="68D05576" w:rsidR="00430BC5" w:rsidRDefault="008A399E" w:rsidP="00430BC5">
      <w:pPr>
        <w:rPr>
          <w:rFonts w:ascii="ＭＳ 明朝" w:hAnsi="ＭＳ 明朝" w:cs="Arial"/>
          <w:shd w:val="clear" w:color="auto" w:fill="FFFFFF"/>
        </w:rPr>
      </w:pPr>
      <w:r>
        <w:rPr>
          <w:rFonts w:ascii="ＭＳ 明朝" w:hAnsi="ＭＳ 明朝" w:cs="Arial" w:hint="eastAsia"/>
          <w:shd w:val="clear" w:color="auto" w:fill="FFFFFF"/>
        </w:rPr>
        <w:t xml:space="preserve">  JPIAにおけるDOAのGHS分類における見解</w:t>
      </w:r>
    </w:p>
    <w:p w14:paraId="1B6B82E3" w14:textId="058A237D" w:rsidR="008A399E" w:rsidRDefault="008A399E" w:rsidP="00430BC5">
      <w:pPr>
        <w:rPr>
          <w:rFonts w:ascii="ＭＳ 明朝" w:hAnsi="ＭＳ 明朝" w:cs="Arial"/>
          <w:shd w:val="clear" w:color="auto" w:fill="FFFFFF"/>
        </w:rPr>
      </w:pPr>
      <w:r>
        <w:rPr>
          <w:rFonts w:ascii="ＭＳ 明朝" w:hAnsi="ＭＳ 明朝" w:cs="Arial" w:hint="eastAsia"/>
          <w:shd w:val="clear" w:color="auto" w:fill="FFFFFF"/>
        </w:rPr>
        <w:t xml:space="preserve">  JPIAにおいて、</w:t>
      </w:r>
      <w:r w:rsidR="00D45B5B">
        <w:rPr>
          <w:rFonts w:ascii="ＭＳ 明朝" w:hAnsi="ＭＳ 明朝" w:cs="Arial" w:hint="eastAsia"/>
          <w:shd w:val="clear" w:color="auto" w:fill="FFFFFF"/>
        </w:rPr>
        <w:t>DOAの</w:t>
      </w:r>
      <w:r>
        <w:rPr>
          <w:rFonts w:ascii="ＭＳ 明朝" w:hAnsi="ＭＳ 明朝" w:cs="Arial" w:hint="eastAsia"/>
          <w:shd w:val="clear" w:color="auto" w:fill="FFFFFF"/>
        </w:rPr>
        <w:t>表2の危険有害性項目</w:t>
      </w:r>
      <w:r w:rsidR="00D45B5B">
        <w:rPr>
          <w:rFonts w:ascii="ＭＳ 明朝" w:hAnsi="ＭＳ 明朝" w:cs="Arial" w:hint="eastAsia"/>
          <w:shd w:val="clear" w:color="auto" w:fill="FFFFFF"/>
        </w:rPr>
        <w:t>についての分類は「区分に該当しない」と考えています。その考えを以下に紹介いたします。</w:t>
      </w:r>
    </w:p>
    <w:p w14:paraId="1F8030C1" w14:textId="13DB1463" w:rsidR="00D45B5B" w:rsidRDefault="00D45B5B" w:rsidP="00430BC5">
      <w:pPr>
        <w:rPr>
          <w:rFonts w:ascii="ＭＳ 明朝" w:hAnsi="ＭＳ 明朝" w:cs="Arial"/>
          <w:shd w:val="clear" w:color="auto" w:fill="FFFFFF"/>
        </w:rPr>
      </w:pPr>
    </w:p>
    <w:p w14:paraId="56A9DD40" w14:textId="776CBDF6" w:rsidR="00D45B5B" w:rsidRDefault="00D45B5B" w:rsidP="00430BC5">
      <w:pPr>
        <w:rPr>
          <w:rFonts w:ascii="ＭＳ 明朝" w:hAnsi="ＭＳ 明朝" w:cs="Arial"/>
          <w:shd w:val="clear" w:color="auto" w:fill="FFFFFF"/>
        </w:rPr>
      </w:pPr>
      <w:r>
        <w:rPr>
          <w:rFonts w:ascii="ＭＳ 明朝" w:hAnsi="ＭＳ 明朝" w:cs="Arial" w:hint="eastAsia"/>
          <w:shd w:val="clear" w:color="auto" w:fill="FFFFFF"/>
        </w:rPr>
        <w:t>1)水性環境有害性（急性、慢性）</w:t>
      </w:r>
    </w:p>
    <w:p w14:paraId="21C08287" w14:textId="3509AB0D" w:rsidR="00D45B5B" w:rsidRDefault="00D45B5B" w:rsidP="00430BC5">
      <w:pPr>
        <w:rPr>
          <w:rFonts w:ascii="ＭＳ 明朝" w:hAnsi="ＭＳ 明朝" w:cs="Arial"/>
          <w:shd w:val="clear" w:color="auto" w:fill="FFFFFF"/>
        </w:rPr>
      </w:pPr>
      <w:r>
        <w:rPr>
          <w:rFonts w:ascii="ＭＳ 明朝" w:hAnsi="ＭＳ 明朝" w:cs="Arial" w:hint="eastAsia"/>
          <w:shd w:val="clear" w:color="auto" w:fill="FFFFFF"/>
        </w:rPr>
        <w:t xml:space="preserve">  今回のNITEによる分類では、下記のデータが参照されています。</w:t>
      </w:r>
    </w:p>
    <w:p w14:paraId="67C2ED44" w14:textId="2E092FCB" w:rsidR="00C7143C" w:rsidRDefault="00C7143C" w:rsidP="00430BC5">
      <w:pPr>
        <w:rPr>
          <w:rFonts w:ascii="ＭＳ 明朝" w:hAnsi="ＭＳ 明朝" w:cs="Arial"/>
          <w:shd w:val="clear" w:color="auto" w:fill="FFFFFF"/>
        </w:rPr>
      </w:pPr>
      <w:r>
        <w:rPr>
          <w:rFonts w:ascii="ＭＳ 明朝" w:hAnsi="ＭＳ 明朝" w:cs="Arial" w:hint="eastAsia"/>
          <w:shd w:val="clear" w:color="auto" w:fill="FFFFFF"/>
        </w:rPr>
        <w:t>・</w:t>
      </w:r>
      <w:r w:rsidR="00D45B5B">
        <w:rPr>
          <w:rFonts w:ascii="ＭＳ 明朝" w:hAnsi="ＭＳ 明朝" w:cs="Arial" w:hint="eastAsia"/>
          <w:shd w:val="clear" w:color="auto" w:fill="FFFFFF"/>
        </w:rPr>
        <w:t>急性：</w:t>
      </w:r>
    </w:p>
    <w:p w14:paraId="002A82B9" w14:textId="77777777" w:rsidR="00C7143C" w:rsidRDefault="00D45B5B" w:rsidP="00C7143C">
      <w:pPr>
        <w:ind w:firstLineChars="200" w:firstLine="385"/>
        <w:rPr>
          <w:rFonts w:ascii="ＭＳ 明朝" w:hAnsi="ＭＳ 明朝" w:cs="Arial"/>
          <w:shd w:val="clear" w:color="auto" w:fill="FFFFFF"/>
        </w:rPr>
      </w:pPr>
      <w:r>
        <w:rPr>
          <w:rFonts w:ascii="ＭＳ 明朝" w:hAnsi="ＭＳ 明朝" w:cs="Arial" w:hint="eastAsia"/>
          <w:shd w:val="clear" w:color="auto" w:fill="FFFFFF"/>
        </w:rPr>
        <w:t>甲殻類（オオミジンコ）48時間EC</w:t>
      </w:r>
      <w:r w:rsidR="00C7143C">
        <w:rPr>
          <w:rFonts w:ascii="ＭＳ 明朝" w:hAnsi="ＭＳ 明朝" w:cs="Arial" w:hint="eastAsia"/>
          <w:shd w:val="clear" w:color="auto" w:fill="FFFFFF"/>
        </w:rPr>
        <w:t xml:space="preserve"> </w:t>
      </w:r>
      <w:r>
        <w:rPr>
          <w:rFonts w:ascii="ＭＳ 明朝" w:hAnsi="ＭＳ 明朝" w:cs="Arial" w:hint="eastAsia"/>
          <w:shd w:val="clear" w:color="auto" w:fill="FFFFFF"/>
        </w:rPr>
        <w:t>= 0.66mg/L</w:t>
      </w:r>
    </w:p>
    <w:p w14:paraId="4EF3F30E" w14:textId="4F8E3C97" w:rsidR="00D45B5B" w:rsidRDefault="00D45B5B" w:rsidP="00C7143C">
      <w:pPr>
        <w:ind w:firstLineChars="200" w:firstLine="385"/>
        <w:rPr>
          <w:rFonts w:ascii="ＭＳ 明朝" w:hAnsi="ＭＳ 明朝" w:cs="Arial"/>
          <w:shd w:val="clear" w:color="auto" w:fill="FFFFFF"/>
        </w:rPr>
      </w:pPr>
      <w:r>
        <w:rPr>
          <w:rFonts w:ascii="ＭＳ 明朝" w:hAnsi="ＭＳ 明朝" w:cs="Arial" w:hint="eastAsia"/>
          <w:shd w:val="clear" w:color="auto" w:fill="FFFFFF"/>
        </w:rPr>
        <w:t xml:space="preserve">  </w:t>
      </w:r>
      <w:r w:rsidR="00C7143C">
        <w:rPr>
          <w:rFonts w:ascii="ＭＳ 明朝" w:hAnsi="ＭＳ 明朝" w:cs="Arial" w:hint="eastAsia"/>
          <w:shd w:val="clear" w:color="auto" w:fill="FFFFFF"/>
        </w:rPr>
        <w:t xml:space="preserve"> </w:t>
      </w:r>
      <w:r>
        <w:rPr>
          <w:rFonts w:ascii="ＭＳ 明朝" w:hAnsi="ＭＳ 明朝" w:cs="Arial" w:hint="eastAsia"/>
          <w:shd w:val="clear" w:color="auto" w:fill="FFFFFF"/>
        </w:rPr>
        <w:t xml:space="preserve">⇒ </w:t>
      </w:r>
      <w:r w:rsidR="00C7143C">
        <w:rPr>
          <w:rFonts w:ascii="ＭＳ 明朝" w:hAnsi="ＭＳ 明朝" w:cs="Arial" w:hint="eastAsia"/>
          <w:shd w:val="clear" w:color="auto" w:fill="FFFFFF"/>
        </w:rPr>
        <w:t xml:space="preserve">48時間EC50 </w:t>
      </w:r>
      <w:r>
        <w:rPr>
          <w:rFonts w:ascii="ＭＳ 明朝" w:hAnsi="ＭＳ 明朝" w:cs="Arial" w:hint="eastAsia"/>
          <w:shd w:val="clear" w:color="auto" w:fill="FFFFFF"/>
        </w:rPr>
        <w:t>≦ 1mg/Lなので区分1</w:t>
      </w:r>
    </w:p>
    <w:p w14:paraId="6A4D971D" w14:textId="20AE606B" w:rsidR="00C7143C" w:rsidRDefault="00C7143C" w:rsidP="00430BC5">
      <w:pPr>
        <w:rPr>
          <w:rFonts w:ascii="ＭＳ 明朝" w:hAnsi="ＭＳ 明朝" w:cs="Arial"/>
          <w:shd w:val="clear" w:color="auto" w:fill="FFFFFF"/>
        </w:rPr>
      </w:pPr>
      <w:r>
        <w:rPr>
          <w:rFonts w:ascii="ＭＳ 明朝" w:hAnsi="ＭＳ 明朝" w:cs="Arial" w:hint="eastAsia"/>
          <w:shd w:val="clear" w:color="auto" w:fill="FFFFFF"/>
        </w:rPr>
        <w:t>・</w:t>
      </w:r>
      <w:r w:rsidR="00D45B5B">
        <w:rPr>
          <w:rFonts w:ascii="ＭＳ 明朝" w:hAnsi="ＭＳ 明朝" w:cs="Arial" w:hint="eastAsia"/>
          <w:shd w:val="clear" w:color="auto" w:fill="FFFFFF"/>
        </w:rPr>
        <w:t>慢性：</w:t>
      </w:r>
    </w:p>
    <w:p w14:paraId="1BD4D8CF" w14:textId="77777777" w:rsidR="00C7143C" w:rsidRDefault="00D45B5B" w:rsidP="00C7143C">
      <w:pPr>
        <w:ind w:firstLineChars="200" w:firstLine="385"/>
        <w:rPr>
          <w:rFonts w:ascii="ＭＳ 明朝" w:hAnsi="ＭＳ 明朝" w:cs="Arial"/>
          <w:shd w:val="clear" w:color="auto" w:fill="FFFFFF"/>
        </w:rPr>
      </w:pPr>
      <w:r>
        <w:rPr>
          <w:rFonts w:ascii="ＭＳ 明朝" w:hAnsi="ＭＳ 明朝" w:cs="Arial" w:hint="eastAsia"/>
          <w:shd w:val="clear" w:color="auto" w:fill="FFFFFF"/>
        </w:rPr>
        <w:t>甲殻類（オオミジンコ）21日間NOEC</w:t>
      </w:r>
      <w:r w:rsidR="00C7143C">
        <w:rPr>
          <w:rFonts w:ascii="ＭＳ 明朝" w:hAnsi="ＭＳ 明朝" w:cs="Arial" w:hint="eastAsia"/>
          <w:shd w:val="clear" w:color="auto" w:fill="FFFFFF"/>
        </w:rPr>
        <w:t xml:space="preserve"> </w:t>
      </w:r>
      <w:r>
        <w:rPr>
          <w:rFonts w:ascii="ＭＳ 明朝" w:hAnsi="ＭＳ 明朝" w:cs="Arial" w:hint="eastAsia"/>
          <w:shd w:val="clear" w:color="auto" w:fill="FFFFFF"/>
        </w:rPr>
        <w:t>=</w:t>
      </w:r>
      <w:r w:rsidR="00C7143C">
        <w:rPr>
          <w:rFonts w:ascii="ＭＳ 明朝" w:hAnsi="ＭＳ 明朝" w:cs="Arial" w:hint="eastAsia"/>
          <w:shd w:val="clear" w:color="auto" w:fill="FFFFFF"/>
        </w:rPr>
        <w:t xml:space="preserve"> </w:t>
      </w:r>
      <w:r>
        <w:rPr>
          <w:rFonts w:ascii="ＭＳ 明朝" w:hAnsi="ＭＳ 明朝" w:cs="Arial" w:hint="eastAsia"/>
          <w:shd w:val="clear" w:color="auto" w:fill="FFFFFF"/>
        </w:rPr>
        <w:t>0.0069mg/L</w:t>
      </w:r>
    </w:p>
    <w:p w14:paraId="6AA4A196" w14:textId="1B4F21DD" w:rsidR="00D45B5B" w:rsidRDefault="00D45B5B" w:rsidP="00C7143C">
      <w:pPr>
        <w:ind w:firstLineChars="300" w:firstLine="577"/>
        <w:rPr>
          <w:rFonts w:ascii="ＭＳ 明朝" w:hAnsi="ＭＳ 明朝" w:cs="Arial"/>
          <w:shd w:val="clear" w:color="auto" w:fill="FFFFFF"/>
        </w:rPr>
      </w:pPr>
      <w:r>
        <w:rPr>
          <w:rFonts w:ascii="ＭＳ 明朝" w:hAnsi="ＭＳ 明朝" w:cs="Arial" w:hint="eastAsia"/>
          <w:shd w:val="clear" w:color="auto" w:fill="FFFFFF"/>
        </w:rPr>
        <w:t xml:space="preserve"> ⇒ </w:t>
      </w:r>
      <w:r w:rsidR="00C7143C">
        <w:rPr>
          <w:rFonts w:ascii="ＭＳ 明朝" w:hAnsi="ＭＳ 明朝" w:cs="Arial" w:hint="eastAsia"/>
          <w:shd w:val="clear" w:color="auto" w:fill="FFFFFF"/>
        </w:rPr>
        <w:t>NOEC ≦ 0.01mg/Lなので区分1</w:t>
      </w:r>
    </w:p>
    <w:p w14:paraId="0F02D28E" w14:textId="071ACC16" w:rsidR="00430BC5" w:rsidRPr="00C7143C" w:rsidRDefault="00C7143C" w:rsidP="00430BC5">
      <w:pPr>
        <w:rPr>
          <w:rFonts w:ascii="ＭＳ 明朝" w:hAnsi="ＭＳ 明朝" w:cs="Arial"/>
          <w:shd w:val="clear" w:color="auto" w:fill="FFFFFF"/>
        </w:rPr>
      </w:pPr>
      <w:r>
        <w:rPr>
          <w:rFonts w:ascii="ＭＳ 明朝" w:hAnsi="ＭＳ 明朝" w:cs="Arial" w:hint="eastAsia"/>
          <w:shd w:val="clear" w:color="auto" w:fill="FFFFFF"/>
        </w:rPr>
        <w:t xml:space="preserve">  またこれらの背景として、DOAの水溶解度は</w:t>
      </w:r>
      <w:r>
        <w:rPr>
          <w:rFonts w:ascii="ＭＳ 明朝" w:hAnsi="ＭＳ 明朝" w:cs="Arial"/>
          <w:shd w:val="clear" w:color="auto" w:fill="FFFFFF"/>
        </w:rPr>
        <w:t>0.78 mg/L</w:t>
      </w:r>
      <w:r>
        <w:rPr>
          <w:rFonts w:ascii="ＭＳ 明朝" w:hAnsi="ＭＳ 明朝" w:cs="Arial" w:hint="eastAsia"/>
          <w:shd w:val="clear" w:color="auto" w:fill="FFFFFF"/>
        </w:rPr>
        <w:t>(</w:t>
      </w:r>
      <w:r>
        <w:rPr>
          <w:rFonts w:ascii="ＭＳ 明朝" w:hAnsi="ＭＳ 明朝" w:cs="Arial"/>
          <w:shd w:val="clear" w:color="auto" w:fill="FFFFFF"/>
        </w:rPr>
        <w:t>Felder et al.</w:t>
      </w:r>
      <w:r>
        <w:rPr>
          <w:rFonts w:ascii="ＭＳ 明朝" w:hAnsi="ＭＳ 明朝" w:cs="Arial" w:hint="eastAsia"/>
          <w:shd w:val="clear" w:color="auto" w:fill="FFFFFF"/>
        </w:rPr>
        <w:t>(</w:t>
      </w:r>
      <w:r>
        <w:rPr>
          <w:rFonts w:ascii="ＭＳ 明朝" w:hAnsi="ＭＳ 明朝" w:cs="Arial"/>
          <w:shd w:val="clear" w:color="auto" w:fill="FFFFFF"/>
        </w:rPr>
        <w:t>1986</w:t>
      </w:r>
      <w:r>
        <w:rPr>
          <w:rFonts w:ascii="ＭＳ 明朝" w:hAnsi="ＭＳ 明朝" w:cs="Arial" w:hint="eastAsia"/>
          <w:shd w:val="clear" w:color="auto" w:fill="FFFFFF"/>
        </w:rPr>
        <w:t>))のデータが参照されているものと考えています。</w:t>
      </w:r>
    </w:p>
    <w:p w14:paraId="10B60849" w14:textId="14ACB66D" w:rsidR="00430BC5" w:rsidRDefault="00C7143C" w:rsidP="00430BC5">
      <w:pPr>
        <w:rPr>
          <w:rFonts w:ascii="ＭＳ 明朝" w:hAnsi="ＭＳ 明朝" w:cs="Arial"/>
          <w:shd w:val="clear" w:color="auto" w:fill="FFFFFF"/>
        </w:rPr>
      </w:pPr>
      <w:r>
        <w:rPr>
          <w:rFonts w:ascii="ＭＳ 明朝" w:hAnsi="ＭＳ 明朝" w:cs="Arial" w:hint="eastAsia"/>
          <w:shd w:val="clear" w:color="auto" w:fill="FFFFFF"/>
        </w:rPr>
        <w:t xml:space="preserve">  一方JPIAにおいては、以下の観点から水性環境有害性は「区分に該当しない」と判定しています。</w:t>
      </w:r>
    </w:p>
    <w:p w14:paraId="40DF3443" w14:textId="4A9CF58D" w:rsidR="00C7143C" w:rsidRDefault="00C7143C" w:rsidP="00244C0C">
      <w:pPr>
        <w:ind w:left="192" w:hangingChars="100" w:hanging="192"/>
        <w:rPr>
          <w:rFonts w:ascii="ＭＳ 明朝" w:hAnsi="ＭＳ 明朝" w:cs="Arial"/>
          <w:shd w:val="clear" w:color="auto" w:fill="FFFFFF"/>
        </w:rPr>
      </w:pPr>
      <w:r>
        <w:rPr>
          <w:rFonts w:ascii="ＭＳ 明朝" w:hAnsi="ＭＳ 明朝" w:cs="Arial" w:hint="eastAsia"/>
          <w:shd w:val="clear" w:color="auto" w:fill="FFFFFF"/>
        </w:rPr>
        <w:t>・DOAの水溶解度</w:t>
      </w:r>
      <w:r w:rsidR="00244C0C">
        <w:rPr>
          <w:rFonts w:ascii="ＭＳ 明朝" w:hAnsi="ＭＳ 明朝" w:cs="Arial" w:hint="eastAsia"/>
          <w:shd w:val="clear" w:color="auto" w:fill="FFFFFF"/>
        </w:rPr>
        <w:t>は0.0032mg/Lである。Felderによる0.78mg/Lというデータは測定方法が何らかのガイドラインによるものではなく参照するには適切でない。</w:t>
      </w:r>
    </w:p>
    <w:p w14:paraId="3BD49E7E" w14:textId="6BADC65B" w:rsidR="00244C0C" w:rsidRDefault="00244C0C" w:rsidP="00244C0C">
      <w:pPr>
        <w:ind w:left="192" w:hangingChars="100" w:hanging="192"/>
        <w:rPr>
          <w:rFonts w:ascii="ＭＳ 明朝" w:hAnsi="ＭＳ 明朝" w:cs="Arial"/>
          <w:shd w:val="clear" w:color="auto" w:fill="FFFFFF"/>
        </w:rPr>
      </w:pPr>
      <w:r>
        <w:rPr>
          <w:rFonts w:ascii="ＭＳ 明朝" w:hAnsi="ＭＳ 明朝" w:cs="Arial" w:hint="eastAsia"/>
          <w:shd w:val="clear" w:color="auto" w:fill="FFFFFF"/>
        </w:rPr>
        <w:t>・DOAの水溶解度を0.0032mg/Lとした場合、今回NITE</w:t>
      </w:r>
      <w:r>
        <w:rPr>
          <w:rFonts w:ascii="ＭＳ 明朝" w:hAnsi="ＭＳ 明朝" w:cs="Arial" w:hint="eastAsia"/>
          <w:shd w:val="clear" w:color="auto" w:fill="FFFFFF"/>
        </w:rPr>
        <w:lastRenderedPageBreak/>
        <w:t>が採用した甲殻類のデータはDOAの水溶解度よりも高濃度での毒性値となっている。これは「</w:t>
      </w:r>
      <w:r w:rsidRPr="00244C0C">
        <w:rPr>
          <w:rFonts w:ascii="ＭＳ 明朝" w:hAnsi="ＭＳ 明朝" w:cs="Arial" w:hint="eastAsia"/>
          <w:shd w:val="clear" w:color="auto" w:fill="FFFFFF"/>
        </w:rPr>
        <w:t>水溶解度以上の毒性値が算定されている試験結果については、信頼性が低いものと判断</w:t>
      </w:r>
      <w:r w:rsidR="00235FD2">
        <w:rPr>
          <w:rFonts w:ascii="ＭＳ 明朝" w:hAnsi="ＭＳ 明朝" w:cs="Arial" w:hint="eastAsia"/>
          <w:shd w:val="clear" w:color="auto" w:fill="FFFFFF"/>
        </w:rPr>
        <w:t>される</w:t>
      </w:r>
      <w:r>
        <w:rPr>
          <w:rFonts w:ascii="ＭＳ 明朝" w:hAnsi="ＭＳ 明朝" w:cs="Arial" w:hint="eastAsia"/>
          <w:shd w:val="clear" w:color="auto" w:fill="FFFFFF"/>
        </w:rPr>
        <w:t>」</w:t>
      </w:r>
      <w:r w:rsidR="00235FD2">
        <w:rPr>
          <w:rFonts w:ascii="ＭＳ 明朝" w:hAnsi="ＭＳ 明朝" w:cs="Arial" w:hint="eastAsia"/>
          <w:shd w:val="clear" w:color="auto" w:fill="FFFFFF"/>
        </w:rPr>
        <w:t>との原則から考えると当該毒性値を参照するのは適切ではない。</w:t>
      </w:r>
    </w:p>
    <w:p w14:paraId="7133F745" w14:textId="049F8221" w:rsidR="00430BC5" w:rsidRDefault="00430BC5" w:rsidP="00430BC5">
      <w:pPr>
        <w:rPr>
          <w:rFonts w:ascii="ＭＳ 明朝" w:hAnsi="ＭＳ 明朝" w:cs="Arial"/>
          <w:shd w:val="clear" w:color="auto" w:fill="FFFFFF"/>
        </w:rPr>
      </w:pPr>
    </w:p>
    <w:p w14:paraId="764FE335" w14:textId="74C19CF8" w:rsidR="00235FD2" w:rsidRDefault="00235FD2" w:rsidP="00430BC5">
      <w:pPr>
        <w:rPr>
          <w:rFonts w:ascii="ＭＳ 明朝" w:hAnsi="ＭＳ 明朝" w:cs="Arial"/>
          <w:shd w:val="clear" w:color="auto" w:fill="FFFFFF"/>
        </w:rPr>
      </w:pPr>
      <w:r>
        <w:rPr>
          <w:rFonts w:ascii="ＭＳ 明朝" w:hAnsi="ＭＳ 明朝" w:cs="Arial" w:hint="eastAsia"/>
          <w:shd w:val="clear" w:color="auto" w:fill="FFFFFF"/>
        </w:rPr>
        <w:t>2)生殖毒性</w:t>
      </w:r>
    </w:p>
    <w:p w14:paraId="711A7B70" w14:textId="77777777" w:rsidR="005C1377" w:rsidRDefault="00062301" w:rsidP="00AB2D3C">
      <w:pPr>
        <w:ind w:firstLineChars="100" w:firstLine="192"/>
        <w:rPr>
          <w:rFonts w:ascii="ＭＳ 明朝" w:hAnsi="ＭＳ 明朝" w:cs="Arial"/>
          <w:shd w:val="clear" w:color="auto" w:fill="FFFFFF"/>
        </w:rPr>
      </w:pPr>
      <w:r>
        <w:rPr>
          <w:rFonts w:ascii="ＭＳ 明朝" w:hAnsi="ＭＳ 明朝" w:cs="Arial" w:hint="eastAsia"/>
          <w:shd w:val="clear" w:color="auto" w:fill="FFFFFF"/>
        </w:rPr>
        <w:t>今回のNITEによる分類では、</w:t>
      </w:r>
      <w:r w:rsidR="005C1377">
        <w:rPr>
          <w:rFonts w:ascii="ＭＳ 明朝" w:hAnsi="ＭＳ 明朝" w:cs="Arial" w:hint="eastAsia"/>
          <w:shd w:val="clear" w:color="auto" w:fill="FFFFFF"/>
        </w:rPr>
        <w:t>AICIS IMAPに採用されているラットを用いた経口投与の試験結果において妊娠期間の延長、出生児の低体重、卵巣毒性、性周期の延長などの毒性がみられたことから</w:t>
      </w:r>
    </w:p>
    <w:p w14:paraId="2F2BBCA2" w14:textId="77777777" w:rsidR="005C1377" w:rsidRDefault="005C1377" w:rsidP="00AB2D3C">
      <w:pPr>
        <w:ind w:firstLineChars="100" w:firstLine="192"/>
        <w:rPr>
          <w:rFonts w:ascii="ＭＳ 明朝" w:hAnsi="ＭＳ 明朝" w:cs="Arial"/>
          <w:shd w:val="clear" w:color="auto" w:fill="FFFFFF"/>
        </w:rPr>
      </w:pPr>
      <w:r>
        <w:rPr>
          <w:rFonts w:ascii="ＭＳ 明朝" w:hAnsi="ＭＳ 明朝" w:cs="Arial" w:hint="eastAsia"/>
          <w:shd w:val="clear" w:color="auto" w:fill="FFFFFF"/>
        </w:rPr>
        <w:t>動物試験で生殖毒性がみられた</w:t>
      </w:r>
    </w:p>
    <w:p w14:paraId="37AC3BF5" w14:textId="3F0B4A3C" w:rsidR="00D43898" w:rsidRDefault="005C1377" w:rsidP="005C1377">
      <w:pPr>
        <w:ind w:firstLineChars="200" w:firstLine="385"/>
        <w:rPr>
          <w:rFonts w:ascii="ＭＳ 明朝" w:hAnsi="ＭＳ 明朝" w:cs="Arial"/>
          <w:shd w:val="clear" w:color="auto" w:fill="FFFFFF"/>
        </w:rPr>
      </w:pPr>
      <w:r>
        <w:rPr>
          <w:rFonts w:ascii="ＭＳ 明朝" w:hAnsi="ＭＳ 明朝" w:cs="Arial" w:hint="eastAsia"/>
          <w:shd w:val="clear" w:color="auto" w:fill="FFFFFF"/>
        </w:rPr>
        <w:t>⇒ヒトに対する生殖毒性が疑われる</w:t>
      </w:r>
    </w:p>
    <w:p w14:paraId="39E4D850" w14:textId="61A7EDAB" w:rsidR="00D43898" w:rsidRPr="005C1377" w:rsidRDefault="005C1377" w:rsidP="005C1377">
      <w:pPr>
        <w:rPr>
          <w:rFonts w:ascii="ＭＳ 明朝" w:hAnsi="ＭＳ 明朝" w:cs="Arial"/>
          <w:shd w:val="clear" w:color="auto" w:fill="FFFFFF"/>
        </w:rPr>
      </w:pPr>
      <w:r>
        <w:rPr>
          <w:rFonts w:ascii="ＭＳ 明朝" w:hAnsi="ＭＳ 明朝" w:cs="Arial" w:hint="eastAsia"/>
          <w:shd w:val="clear" w:color="auto" w:fill="FFFFFF"/>
        </w:rPr>
        <w:t>との事で、区分2とされています。</w:t>
      </w:r>
    </w:p>
    <w:p w14:paraId="34C272B6" w14:textId="3E0D997A" w:rsidR="00D43898" w:rsidRDefault="0054179C" w:rsidP="00AB2D3C">
      <w:pPr>
        <w:ind w:firstLineChars="100" w:firstLine="192"/>
        <w:rPr>
          <w:rFonts w:ascii="ＭＳ 明朝" w:hAnsi="ＭＳ 明朝" w:cs="Arial"/>
          <w:shd w:val="clear" w:color="auto" w:fill="FFFFFF"/>
        </w:rPr>
      </w:pPr>
      <w:r w:rsidRPr="0054179C">
        <w:rPr>
          <w:rFonts w:ascii="ＭＳ 明朝" w:hAnsi="ＭＳ 明朝" w:cs="Arial" w:hint="eastAsia"/>
          <w:shd w:val="clear" w:color="auto" w:fill="FFFFFF"/>
        </w:rPr>
        <w:t>一方JPIA</w:t>
      </w:r>
      <w:r>
        <w:rPr>
          <w:rFonts w:ascii="ＭＳ 明朝" w:hAnsi="ＭＳ 明朝" w:cs="Arial" w:hint="eastAsia"/>
          <w:shd w:val="clear" w:color="auto" w:fill="FFFFFF"/>
        </w:rPr>
        <w:t>においては従来から可塑剤の代謝についてはげっ歯類と霊長類においては種差があり、げっ歯類のデータがそのままヒトに外挿できないと考えており、DOAについても同様と考えています。よってDOAの生殖毒性は「区分に該当しない」と判断しております。現在JPIAでは、DOAにポイントを絞りげっ歯類との種差に関する文献調査について、あらためて取り組んでいるところです。</w:t>
      </w:r>
    </w:p>
    <w:p w14:paraId="1A21D9B2" w14:textId="38AD7E99" w:rsidR="0054179C" w:rsidRDefault="0054179C" w:rsidP="0054179C">
      <w:pPr>
        <w:rPr>
          <w:rFonts w:ascii="ＭＳ 明朝" w:hAnsi="ＭＳ 明朝" w:cs="Arial"/>
          <w:shd w:val="clear" w:color="auto" w:fill="FFFFFF"/>
        </w:rPr>
      </w:pPr>
    </w:p>
    <w:p w14:paraId="628C9805" w14:textId="1A0CDA2A" w:rsidR="003566B5" w:rsidRDefault="003566B5" w:rsidP="003566B5">
      <w:pPr>
        <w:rPr>
          <w:rFonts w:ascii="ＭＳ 明朝" w:hAnsi="ＭＳ 明朝" w:cs="Arial"/>
          <w:shd w:val="clear" w:color="auto" w:fill="FFFFFF"/>
        </w:rPr>
      </w:pPr>
      <w:r>
        <w:rPr>
          <w:rFonts w:ascii="ＭＳ 明朝" w:hAnsi="ＭＳ 明朝" w:cs="Arial" w:hint="eastAsia"/>
          <w:shd w:val="clear" w:color="auto" w:fill="FFFFFF"/>
        </w:rPr>
        <w:t>2)</w:t>
      </w:r>
      <w:r w:rsidRPr="003566B5">
        <w:rPr>
          <w:rFonts w:ascii="ＭＳ 明朝" w:hAnsi="ＭＳ 明朝" w:cs="Arial" w:hint="eastAsia"/>
          <w:shd w:val="clear" w:color="auto" w:fill="FFFFFF"/>
        </w:rPr>
        <w:t>特定標的臓器毒性（単回ばく露）</w:t>
      </w:r>
    </w:p>
    <w:p w14:paraId="72DE889F" w14:textId="5D6A0161" w:rsidR="0054179C" w:rsidRDefault="003566B5" w:rsidP="003566B5">
      <w:pPr>
        <w:ind w:firstLineChars="100" w:firstLine="192"/>
        <w:rPr>
          <w:rFonts w:ascii="ＭＳ 明朝" w:hAnsi="ＭＳ 明朝" w:cs="Arial"/>
          <w:shd w:val="clear" w:color="auto" w:fill="FFFFFF"/>
        </w:rPr>
      </w:pPr>
      <w:r w:rsidRPr="003566B5">
        <w:rPr>
          <w:rFonts w:ascii="ＭＳ 明朝" w:hAnsi="ＭＳ 明朝" w:cs="Arial" w:hint="eastAsia"/>
          <w:shd w:val="clear" w:color="auto" w:fill="FFFFFF"/>
        </w:rPr>
        <w:t>今回のNITEによる分類では、</w:t>
      </w:r>
      <w:r w:rsidR="00041BAB">
        <w:rPr>
          <w:rFonts w:ascii="ＭＳ 明朝" w:hAnsi="ＭＳ 明朝" w:cs="Arial" w:hint="eastAsia"/>
          <w:shd w:val="clear" w:color="auto" w:fill="FFFFFF"/>
        </w:rPr>
        <w:t>ラット</w:t>
      </w:r>
      <w:r w:rsidR="002170D9">
        <w:rPr>
          <w:rFonts w:ascii="ＭＳ 明朝" w:hAnsi="ＭＳ 明朝" w:cs="Arial" w:hint="eastAsia"/>
          <w:shd w:val="clear" w:color="auto" w:fill="FFFFFF"/>
        </w:rPr>
        <w:t>やマウスを用いた単回毒性評価において、嗜眠や後肢が使えない等の症状により</w:t>
      </w:r>
      <w:r w:rsidR="00041BAB">
        <w:rPr>
          <w:rFonts w:ascii="ＭＳ 明朝" w:hAnsi="ＭＳ 明朝" w:cs="Arial" w:hint="eastAsia"/>
          <w:shd w:val="clear" w:color="auto" w:fill="FFFFFF"/>
        </w:rPr>
        <w:t>DOAが一時</w:t>
      </w:r>
      <w:r w:rsidR="00A4453A">
        <w:rPr>
          <w:rFonts w:ascii="ＭＳ 明朝" w:hAnsi="ＭＳ 明朝" w:cs="Arial" w:hint="eastAsia"/>
          <w:shd w:val="clear" w:color="auto" w:fill="FFFFFF"/>
        </w:rPr>
        <w:t>的な催眠作用を持つとの動物実験結果</w:t>
      </w:r>
      <w:r w:rsidR="002170D9">
        <w:rPr>
          <w:rFonts w:ascii="ＭＳ 明朝" w:hAnsi="ＭＳ 明朝" w:cs="Arial" w:hint="eastAsia"/>
          <w:shd w:val="clear" w:color="auto" w:fill="FFFFFF"/>
        </w:rPr>
        <w:t>を示した論文情報から</w:t>
      </w:r>
      <w:r w:rsidR="00A4453A">
        <w:rPr>
          <w:rFonts w:ascii="ＭＳ 明朝" w:hAnsi="ＭＳ 明朝" w:cs="Arial" w:hint="eastAsia"/>
          <w:shd w:val="clear" w:color="auto" w:fill="FFFFFF"/>
        </w:rPr>
        <w:t>、</w:t>
      </w:r>
      <w:r w:rsidR="00041BAB">
        <w:rPr>
          <w:rFonts w:ascii="ＭＳ 明朝" w:hAnsi="ＭＳ 明朝" w:cs="Arial" w:hint="eastAsia"/>
          <w:shd w:val="clear" w:color="auto" w:fill="FFFFFF"/>
        </w:rPr>
        <w:t>区分3（麻酔作用</w:t>
      </w:r>
      <w:r w:rsidR="00041BAB">
        <w:rPr>
          <w:rFonts w:ascii="ＭＳ 明朝" w:hAnsi="ＭＳ 明朝" w:cs="Arial"/>
          <w:shd w:val="clear" w:color="auto" w:fill="FFFFFF"/>
        </w:rPr>
        <w:t>）</w:t>
      </w:r>
      <w:r w:rsidR="00041BAB">
        <w:rPr>
          <w:rFonts w:ascii="ＭＳ 明朝" w:hAnsi="ＭＳ 明朝" w:cs="Arial" w:hint="eastAsia"/>
          <w:shd w:val="clear" w:color="auto" w:fill="FFFFFF"/>
        </w:rPr>
        <w:t>としたと考えられます。</w:t>
      </w:r>
    </w:p>
    <w:p w14:paraId="3E656E6C" w14:textId="5D2DBC76" w:rsidR="00041BAB" w:rsidRPr="00A4453A" w:rsidRDefault="00041BAB" w:rsidP="003566B5">
      <w:pPr>
        <w:ind w:firstLineChars="100" w:firstLine="192"/>
        <w:rPr>
          <w:rFonts w:ascii="ＭＳ 明朝" w:hAnsi="ＭＳ 明朝" w:cs="Arial"/>
          <w:shd w:val="clear" w:color="auto" w:fill="FFFFFF"/>
        </w:rPr>
      </w:pPr>
      <w:r w:rsidRPr="0054179C">
        <w:rPr>
          <w:rFonts w:ascii="ＭＳ 明朝" w:hAnsi="ＭＳ 明朝" w:cs="Arial" w:hint="eastAsia"/>
          <w:shd w:val="clear" w:color="auto" w:fill="FFFFFF"/>
        </w:rPr>
        <w:t>一方JPIA</w:t>
      </w:r>
      <w:r>
        <w:rPr>
          <w:rFonts w:ascii="ＭＳ 明朝" w:hAnsi="ＭＳ 明朝" w:cs="Arial" w:hint="eastAsia"/>
          <w:shd w:val="clear" w:color="auto" w:fill="FFFFFF"/>
        </w:rPr>
        <w:t>においては、</w:t>
      </w:r>
      <w:r w:rsidR="00A4453A">
        <w:rPr>
          <w:rFonts w:ascii="ＭＳ 明朝" w:hAnsi="ＭＳ 明朝" w:cs="Arial" w:hint="eastAsia"/>
          <w:shd w:val="clear" w:color="auto" w:fill="FFFFFF"/>
        </w:rPr>
        <w:t>DOAの</w:t>
      </w:r>
      <w:r w:rsidR="00A4453A" w:rsidRPr="003566B5">
        <w:rPr>
          <w:rFonts w:ascii="ＭＳ 明朝" w:hAnsi="ＭＳ 明朝" w:cs="Arial" w:hint="eastAsia"/>
          <w:shd w:val="clear" w:color="auto" w:fill="FFFFFF"/>
        </w:rPr>
        <w:t>特定標的臓器毒性（単回ばく露）</w:t>
      </w:r>
      <w:r w:rsidR="00A4453A">
        <w:rPr>
          <w:rFonts w:ascii="ＭＳ 明朝" w:hAnsi="ＭＳ 明朝" w:cs="Arial" w:hint="eastAsia"/>
          <w:shd w:val="clear" w:color="auto" w:fill="FFFFFF"/>
        </w:rPr>
        <w:t>は「区分に該当しない」と考えています。これは、今回NITEは区分3(麻酔作用)の根拠としてMason Reseach Institute(1976年)(OECD SIDS Initial Assessment Report中でピックアップされている)で、ラットおよびマウスを用いた急性経口毒性試験で見られた症状、特に嗜眠/倦怠(Lethargy)についての報告によると考えられますが、</w:t>
      </w:r>
      <w:r w:rsidR="007A004B">
        <w:rPr>
          <w:rFonts w:ascii="ＭＳ 明朝" w:hAnsi="ＭＳ 明朝" w:cs="Arial" w:hint="eastAsia"/>
          <w:shd w:val="clear" w:color="auto" w:fill="FFFFFF"/>
        </w:rPr>
        <w:t>一方でげっ歯類を用いた急性毒性試験において意識障害の有無の判断は難しい事、また前述の報告では嗜眠/倦怠以外の全身症状の悪化の際に見られる症状が報告されており、その悪化の一環としての横たわり状況を嗜眠/倦怠と所見化されている可能性が高いと考えられます。すなわちその段階では、DOAは麻酔症状を有すると判断するのは飛躍があると考えられ区分3とするのは妥当性が無く、JPIAとしては「区分に該当しない」と考えるものであります。</w:t>
      </w:r>
    </w:p>
    <w:p w14:paraId="3655475E" w14:textId="009FB48C" w:rsidR="00041BAB" w:rsidRPr="00A4453A" w:rsidRDefault="00041BAB" w:rsidP="003566B5">
      <w:pPr>
        <w:ind w:firstLineChars="100" w:firstLine="192"/>
        <w:rPr>
          <w:rFonts w:ascii="ＭＳ 明朝" w:hAnsi="ＭＳ 明朝" w:cs="Arial"/>
          <w:shd w:val="clear" w:color="auto" w:fill="FFFFFF"/>
        </w:rPr>
      </w:pPr>
    </w:p>
    <w:p w14:paraId="4F5153E2" w14:textId="0DDCD41A" w:rsidR="007A004B" w:rsidRPr="008D373C" w:rsidRDefault="007A004B" w:rsidP="007A004B">
      <w:pPr>
        <w:rPr>
          <w:rFonts w:ascii="ＭＳ 明朝" w:hAnsi="ＭＳ 明朝" w:cs="Arial"/>
          <w:szCs w:val="21"/>
          <w:shd w:val="clear" w:color="auto" w:fill="FFFFFF"/>
        </w:rPr>
      </w:pPr>
      <w:r>
        <w:rPr>
          <w:rFonts w:ascii="ＭＳ 明朝" w:hAnsi="ＭＳ 明朝" w:cs="Arial" w:hint="eastAsia"/>
          <w:shd w:val="clear" w:color="auto" w:fill="FFFFFF"/>
        </w:rPr>
        <w:t>4</w:t>
      </w:r>
      <w:r w:rsidRPr="002A18C5">
        <w:rPr>
          <w:rFonts w:ascii="ＭＳ 明朝" w:hAnsi="ＭＳ 明朝" w:cs="Arial" w:hint="eastAsia"/>
          <w:shd w:val="clear" w:color="auto" w:fill="FFFFFF"/>
        </w:rPr>
        <w:t>．</w:t>
      </w:r>
      <w:r>
        <w:rPr>
          <w:rFonts w:ascii="ＭＳ 明朝" w:hAnsi="ＭＳ 明朝" w:cs="Arial" w:hint="eastAsia"/>
          <w:shd w:val="clear" w:color="auto" w:fill="FFFFFF"/>
        </w:rPr>
        <w:t>まとめ</w:t>
      </w:r>
    </w:p>
    <w:p w14:paraId="06381B3B" w14:textId="05BF73B8" w:rsidR="00D87A1F" w:rsidRPr="008D373C" w:rsidRDefault="00E65EBD" w:rsidP="00E65EBD">
      <w:pPr>
        <w:ind w:firstLineChars="100" w:firstLine="202"/>
        <w:jc w:val="left"/>
        <w:rPr>
          <w:rFonts w:ascii="ＭＳ 明朝" w:hAnsi="ＭＳ 明朝" w:cs="Arial"/>
          <w:bCs/>
          <w:spacing w:val="0"/>
          <w:kern w:val="24"/>
          <w:szCs w:val="21"/>
        </w:rPr>
      </w:pPr>
      <w:r>
        <w:rPr>
          <w:rFonts w:ascii="ＭＳ 明朝" w:hAnsi="ＭＳ 明朝" w:cs="Arial" w:hint="eastAsia"/>
          <w:bCs/>
          <w:spacing w:val="0"/>
          <w:kern w:val="24"/>
          <w:szCs w:val="21"/>
        </w:rPr>
        <w:t>DOAに関しても</w:t>
      </w:r>
      <w:r w:rsidR="008D373C" w:rsidRPr="008D373C">
        <w:rPr>
          <w:rFonts w:ascii="ＭＳ 明朝" w:hAnsi="ＭＳ 明朝" w:cs="Arial" w:hint="eastAsia"/>
          <w:bCs/>
          <w:spacing w:val="0"/>
          <w:kern w:val="24"/>
          <w:szCs w:val="21"/>
        </w:rPr>
        <w:t>JPIA</w:t>
      </w:r>
      <w:r>
        <w:rPr>
          <w:rFonts w:ascii="ＭＳ 明朝" w:hAnsi="ＭＳ 明朝" w:cs="Arial" w:hint="eastAsia"/>
          <w:bCs/>
          <w:spacing w:val="0"/>
          <w:kern w:val="24"/>
          <w:szCs w:val="21"/>
        </w:rPr>
        <w:t>おいては引き続き安全衛生情報の収集を進めてまいります。</w:t>
      </w:r>
    </w:p>
    <w:p w14:paraId="1A0D53B4"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1618C396"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51932749"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462923E9"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24227C51"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7E478AAD"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2E3D0293"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78C51F7F"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31C063EC"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1AA4E730"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6AC718D6"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6650F863"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35D070A5"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3EC763A8"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78132ADA"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06C6F7DA"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368D48A1"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510A130E"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67E42EF6"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3C8E00D3"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74FCF24C" w14:textId="77777777" w:rsidR="00D87A1F" w:rsidRPr="008D373C" w:rsidRDefault="00D87A1F" w:rsidP="009C421C">
      <w:pPr>
        <w:ind w:left="202" w:hangingChars="100" w:hanging="202"/>
        <w:jc w:val="left"/>
        <w:rPr>
          <w:rFonts w:ascii="ＭＳ 明朝" w:hAnsi="ＭＳ 明朝" w:cs="Arial"/>
          <w:bCs/>
          <w:spacing w:val="0"/>
          <w:kern w:val="24"/>
          <w:szCs w:val="21"/>
        </w:rPr>
      </w:pPr>
    </w:p>
    <w:p w14:paraId="054BDD3D" w14:textId="6DDC9EEB" w:rsidR="00D87A1F" w:rsidRPr="00D87A1F" w:rsidRDefault="00D87A1F" w:rsidP="002D549D">
      <w:pPr>
        <w:jc w:val="left"/>
        <w:rPr>
          <w:rFonts w:ascii="ＭＳ 明朝" w:hAnsi="ＭＳ 明朝" w:hint="eastAsia"/>
          <w:sz w:val="16"/>
          <w:szCs w:val="16"/>
        </w:rPr>
      </w:pPr>
      <w:bookmarkStart w:id="0" w:name="_GoBack"/>
      <w:bookmarkEnd w:id="0"/>
    </w:p>
    <w:sectPr w:rsidR="00D87A1F" w:rsidRPr="00D87A1F" w:rsidSect="00EA3856">
      <w:pgSz w:w="11906" w:h="16838" w:code="9"/>
      <w:pgMar w:top="1701" w:right="851" w:bottom="1701" w:left="1021" w:header="851" w:footer="992" w:gutter="0"/>
      <w:cols w:num="2" w:space="420"/>
      <w:docGrid w:type="linesAndChars" w:linePitch="292" w:charSpace="-15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0AC93" w14:textId="77777777" w:rsidR="00683A5E" w:rsidRDefault="00683A5E">
      <w:r>
        <w:separator/>
      </w:r>
    </w:p>
  </w:endnote>
  <w:endnote w:type="continuationSeparator" w:id="0">
    <w:p w14:paraId="36460342" w14:textId="77777777" w:rsidR="00683A5E" w:rsidRDefault="00683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902B4" w14:textId="77777777" w:rsidR="00683A5E" w:rsidRDefault="00683A5E">
      <w:r>
        <w:separator/>
      </w:r>
    </w:p>
  </w:footnote>
  <w:footnote w:type="continuationSeparator" w:id="0">
    <w:p w14:paraId="6BA3FF2F" w14:textId="77777777" w:rsidR="00683A5E" w:rsidRDefault="00683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F4CAB"/>
    <w:multiLevelType w:val="hybridMultilevel"/>
    <w:tmpl w:val="5E821D8C"/>
    <w:lvl w:ilvl="0" w:tplc="886AD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6263D7"/>
    <w:multiLevelType w:val="hybridMultilevel"/>
    <w:tmpl w:val="03EA8DC2"/>
    <w:lvl w:ilvl="0" w:tplc="5646460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367190C"/>
    <w:multiLevelType w:val="hybridMultilevel"/>
    <w:tmpl w:val="74C8B0DA"/>
    <w:lvl w:ilvl="0" w:tplc="1BA881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6"/>
  <w:drawingGridHorizontalSpacing w:val="96"/>
  <w:drawingGridVerticalSpacing w:val="333"/>
  <w:displayHorizontalDrawingGridEvery w:val="0"/>
  <w:characterSpacingControl w:val="compressPunctuation"/>
  <w:noLineBreaksAfter w:lang="ja-JP" w:val="$([\{‘“〈《「『【〔＄（［｛｢￡￥"/>
  <w:noLineBreaksBefore w:lang="ja-JP" w:val="!%),.:;?]}°’”‰′″℃、。々〉》」』】〕゛゜ゝゞ・ヽヾ！％），．：；？］｝｡｣､･ﾞﾟ￠"/>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173 pt,2.9 pt"/>
    <w:docVar w:name="DocLay" w:val="YES"/>
    <w:docVar w:name="ValidCPLLPP" w:val="1"/>
    <w:docVar w:name="ViewGrid" w:val="0"/>
  </w:docVars>
  <w:rsids>
    <w:rsidRoot w:val="006F1361"/>
    <w:rsid w:val="0000163B"/>
    <w:rsid w:val="00005B68"/>
    <w:rsid w:val="0000740C"/>
    <w:rsid w:val="00010387"/>
    <w:rsid w:val="00041BAB"/>
    <w:rsid w:val="000430E2"/>
    <w:rsid w:val="00043DAB"/>
    <w:rsid w:val="00045E17"/>
    <w:rsid w:val="00054AED"/>
    <w:rsid w:val="00062301"/>
    <w:rsid w:val="00074061"/>
    <w:rsid w:val="00075BB3"/>
    <w:rsid w:val="00083A7E"/>
    <w:rsid w:val="00085272"/>
    <w:rsid w:val="00086851"/>
    <w:rsid w:val="000974E5"/>
    <w:rsid w:val="000B1640"/>
    <w:rsid w:val="000C05F6"/>
    <w:rsid w:val="000C3D13"/>
    <w:rsid w:val="000C4891"/>
    <w:rsid w:val="000C77BD"/>
    <w:rsid w:val="000D363B"/>
    <w:rsid w:val="000E131E"/>
    <w:rsid w:val="000E1FAD"/>
    <w:rsid w:val="000E6B03"/>
    <w:rsid w:val="000E774B"/>
    <w:rsid w:val="000F4AD2"/>
    <w:rsid w:val="00102046"/>
    <w:rsid w:val="00102666"/>
    <w:rsid w:val="0010443B"/>
    <w:rsid w:val="001048B5"/>
    <w:rsid w:val="0011026E"/>
    <w:rsid w:val="00120626"/>
    <w:rsid w:val="0012490C"/>
    <w:rsid w:val="00126B09"/>
    <w:rsid w:val="001342EE"/>
    <w:rsid w:val="001351AD"/>
    <w:rsid w:val="001353EF"/>
    <w:rsid w:val="0013607E"/>
    <w:rsid w:val="001533A3"/>
    <w:rsid w:val="0015405E"/>
    <w:rsid w:val="00163747"/>
    <w:rsid w:val="001641C8"/>
    <w:rsid w:val="0017608A"/>
    <w:rsid w:val="00176643"/>
    <w:rsid w:val="001A253F"/>
    <w:rsid w:val="001A4E07"/>
    <w:rsid w:val="001A576F"/>
    <w:rsid w:val="001A7413"/>
    <w:rsid w:val="001B74DB"/>
    <w:rsid w:val="001C214B"/>
    <w:rsid w:val="001C6492"/>
    <w:rsid w:val="001C7CF0"/>
    <w:rsid w:val="001D3C36"/>
    <w:rsid w:val="001D5CC5"/>
    <w:rsid w:val="001E5A81"/>
    <w:rsid w:val="001F1358"/>
    <w:rsid w:val="001F18D6"/>
    <w:rsid w:val="00200092"/>
    <w:rsid w:val="0021353B"/>
    <w:rsid w:val="00213E42"/>
    <w:rsid w:val="002170D9"/>
    <w:rsid w:val="00232A7B"/>
    <w:rsid w:val="002333BB"/>
    <w:rsid w:val="002346A6"/>
    <w:rsid w:val="00235FD2"/>
    <w:rsid w:val="00240041"/>
    <w:rsid w:val="00240763"/>
    <w:rsid w:val="00244545"/>
    <w:rsid w:val="00244C0C"/>
    <w:rsid w:val="0025232C"/>
    <w:rsid w:val="00254BBD"/>
    <w:rsid w:val="00264BC5"/>
    <w:rsid w:val="00266556"/>
    <w:rsid w:val="002703B5"/>
    <w:rsid w:val="00270BA5"/>
    <w:rsid w:val="0027317E"/>
    <w:rsid w:val="00280135"/>
    <w:rsid w:val="002A18C5"/>
    <w:rsid w:val="002B0D19"/>
    <w:rsid w:val="002B4D4D"/>
    <w:rsid w:val="002C14FA"/>
    <w:rsid w:val="002D2AD4"/>
    <w:rsid w:val="002D2FC2"/>
    <w:rsid w:val="002D549D"/>
    <w:rsid w:val="002E137B"/>
    <w:rsid w:val="002E4EB4"/>
    <w:rsid w:val="002F404A"/>
    <w:rsid w:val="002F5971"/>
    <w:rsid w:val="002F627E"/>
    <w:rsid w:val="00300A7B"/>
    <w:rsid w:val="003107C6"/>
    <w:rsid w:val="00320306"/>
    <w:rsid w:val="003231C4"/>
    <w:rsid w:val="003347E5"/>
    <w:rsid w:val="00336A38"/>
    <w:rsid w:val="00344473"/>
    <w:rsid w:val="003566B5"/>
    <w:rsid w:val="0036539F"/>
    <w:rsid w:val="003676EE"/>
    <w:rsid w:val="0038355A"/>
    <w:rsid w:val="00383D73"/>
    <w:rsid w:val="00396F8A"/>
    <w:rsid w:val="003B0054"/>
    <w:rsid w:val="003B64F1"/>
    <w:rsid w:val="003C00A7"/>
    <w:rsid w:val="003C0F52"/>
    <w:rsid w:val="003D7BF5"/>
    <w:rsid w:val="003E1419"/>
    <w:rsid w:val="003E36BE"/>
    <w:rsid w:val="003E39D8"/>
    <w:rsid w:val="003E5E51"/>
    <w:rsid w:val="003E6062"/>
    <w:rsid w:val="003F5F80"/>
    <w:rsid w:val="00404DFC"/>
    <w:rsid w:val="00413225"/>
    <w:rsid w:val="00415C18"/>
    <w:rsid w:val="0042399B"/>
    <w:rsid w:val="00430BC5"/>
    <w:rsid w:val="0043193C"/>
    <w:rsid w:val="004327E4"/>
    <w:rsid w:val="00434104"/>
    <w:rsid w:val="00435741"/>
    <w:rsid w:val="00436C77"/>
    <w:rsid w:val="00442200"/>
    <w:rsid w:val="004538F9"/>
    <w:rsid w:val="0045584D"/>
    <w:rsid w:val="0046167C"/>
    <w:rsid w:val="00470CDA"/>
    <w:rsid w:val="004719EB"/>
    <w:rsid w:val="004777FE"/>
    <w:rsid w:val="004816AC"/>
    <w:rsid w:val="00496B61"/>
    <w:rsid w:val="004A0727"/>
    <w:rsid w:val="004C2368"/>
    <w:rsid w:val="004C2A43"/>
    <w:rsid w:val="004E1C41"/>
    <w:rsid w:val="004F2E67"/>
    <w:rsid w:val="004F2F68"/>
    <w:rsid w:val="004F73FF"/>
    <w:rsid w:val="00511E48"/>
    <w:rsid w:val="0051605A"/>
    <w:rsid w:val="00521A56"/>
    <w:rsid w:val="005312F2"/>
    <w:rsid w:val="00531459"/>
    <w:rsid w:val="00537054"/>
    <w:rsid w:val="0054179C"/>
    <w:rsid w:val="00541C73"/>
    <w:rsid w:val="00544440"/>
    <w:rsid w:val="00555A1C"/>
    <w:rsid w:val="005563BE"/>
    <w:rsid w:val="005565F5"/>
    <w:rsid w:val="00565439"/>
    <w:rsid w:val="00567835"/>
    <w:rsid w:val="005745C0"/>
    <w:rsid w:val="005829A7"/>
    <w:rsid w:val="00584D50"/>
    <w:rsid w:val="0058524E"/>
    <w:rsid w:val="005A5999"/>
    <w:rsid w:val="005B0772"/>
    <w:rsid w:val="005B6B9C"/>
    <w:rsid w:val="005C04B6"/>
    <w:rsid w:val="005C1377"/>
    <w:rsid w:val="005C15DE"/>
    <w:rsid w:val="005C5C68"/>
    <w:rsid w:val="005D46AB"/>
    <w:rsid w:val="005D7C9A"/>
    <w:rsid w:val="005E08A3"/>
    <w:rsid w:val="005E6679"/>
    <w:rsid w:val="005F4F7C"/>
    <w:rsid w:val="005F6809"/>
    <w:rsid w:val="006102BB"/>
    <w:rsid w:val="0062324E"/>
    <w:rsid w:val="00626329"/>
    <w:rsid w:val="006340C3"/>
    <w:rsid w:val="006378A0"/>
    <w:rsid w:val="0064387E"/>
    <w:rsid w:val="00643994"/>
    <w:rsid w:val="0065446E"/>
    <w:rsid w:val="0065472F"/>
    <w:rsid w:val="00662868"/>
    <w:rsid w:val="00664262"/>
    <w:rsid w:val="006716CE"/>
    <w:rsid w:val="00673AD9"/>
    <w:rsid w:val="00675A3B"/>
    <w:rsid w:val="00683A5E"/>
    <w:rsid w:val="006871FA"/>
    <w:rsid w:val="006911D5"/>
    <w:rsid w:val="00692591"/>
    <w:rsid w:val="006A0E4C"/>
    <w:rsid w:val="006A2876"/>
    <w:rsid w:val="006B0C16"/>
    <w:rsid w:val="006B1B33"/>
    <w:rsid w:val="006B567C"/>
    <w:rsid w:val="006B661F"/>
    <w:rsid w:val="006C0F07"/>
    <w:rsid w:val="006D19DD"/>
    <w:rsid w:val="006D2338"/>
    <w:rsid w:val="006D4D60"/>
    <w:rsid w:val="006D5B3C"/>
    <w:rsid w:val="006D6144"/>
    <w:rsid w:val="006E23E6"/>
    <w:rsid w:val="006E59C1"/>
    <w:rsid w:val="006F1171"/>
    <w:rsid w:val="006F1361"/>
    <w:rsid w:val="006F25D3"/>
    <w:rsid w:val="006F787C"/>
    <w:rsid w:val="007012C6"/>
    <w:rsid w:val="00705F7F"/>
    <w:rsid w:val="0071046F"/>
    <w:rsid w:val="00710D47"/>
    <w:rsid w:val="007253A1"/>
    <w:rsid w:val="00727B20"/>
    <w:rsid w:val="0073046B"/>
    <w:rsid w:val="00737EDC"/>
    <w:rsid w:val="007423B7"/>
    <w:rsid w:val="00752EA1"/>
    <w:rsid w:val="00764174"/>
    <w:rsid w:val="00766276"/>
    <w:rsid w:val="00767C05"/>
    <w:rsid w:val="007710FD"/>
    <w:rsid w:val="00771A87"/>
    <w:rsid w:val="007769D2"/>
    <w:rsid w:val="00781CCF"/>
    <w:rsid w:val="00784B7E"/>
    <w:rsid w:val="0078540B"/>
    <w:rsid w:val="007868CA"/>
    <w:rsid w:val="0079360D"/>
    <w:rsid w:val="007A004B"/>
    <w:rsid w:val="007A1866"/>
    <w:rsid w:val="007A1E54"/>
    <w:rsid w:val="007B0953"/>
    <w:rsid w:val="007D2DBF"/>
    <w:rsid w:val="007D66B5"/>
    <w:rsid w:val="007F175C"/>
    <w:rsid w:val="007F5197"/>
    <w:rsid w:val="007F648B"/>
    <w:rsid w:val="007F68BF"/>
    <w:rsid w:val="007F6998"/>
    <w:rsid w:val="008017E3"/>
    <w:rsid w:val="00805C4B"/>
    <w:rsid w:val="00816FC8"/>
    <w:rsid w:val="00817956"/>
    <w:rsid w:val="008216FB"/>
    <w:rsid w:val="0082360D"/>
    <w:rsid w:val="008236FE"/>
    <w:rsid w:val="00831BC3"/>
    <w:rsid w:val="008335BA"/>
    <w:rsid w:val="00845A6F"/>
    <w:rsid w:val="00851E49"/>
    <w:rsid w:val="00864DD9"/>
    <w:rsid w:val="008653A4"/>
    <w:rsid w:val="0086784A"/>
    <w:rsid w:val="00870C4A"/>
    <w:rsid w:val="0087414C"/>
    <w:rsid w:val="00882CC3"/>
    <w:rsid w:val="00884C1F"/>
    <w:rsid w:val="00885751"/>
    <w:rsid w:val="00891672"/>
    <w:rsid w:val="00892BB6"/>
    <w:rsid w:val="008930D0"/>
    <w:rsid w:val="00897F9C"/>
    <w:rsid w:val="008A399E"/>
    <w:rsid w:val="008A5074"/>
    <w:rsid w:val="008B02CC"/>
    <w:rsid w:val="008B2275"/>
    <w:rsid w:val="008D373C"/>
    <w:rsid w:val="008D474D"/>
    <w:rsid w:val="008D572F"/>
    <w:rsid w:val="008E1E1A"/>
    <w:rsid w:val="008E2A45"/>
    <w:rsid w:val="008E4033"/>
    <w:rsid w:val="008E4A3B"/>
    <w:rsid w:val="008E7742"/>
    <w:rsid w:val="008F2214"/>
    <w:rsid w:val="008F2CAE"/>
    <w:rsid w:val="008F3B79"/>
    <w:rsid w:val="008F561C"/>
    <w:rsid w:val="00901006"/>
    <w:rsid w:val="00902579"/>
    <w:rsid w:val="00903AB8"/>
    <w:rsid w:val="00904CA8"/>
    <w:rsid w:val="00926135"/>
    <w:rsid w:val="00962703"/>
    <w:rsid w:val="009653FB"/>
    <w:rsid w:val="00971532"/>
    <w:rsid w:val="00972B6C"/>
    <w:rsid w:val="009733A3"/>
    <w:rsid w:val="00980B1C"/>
    <w:rsid w:val="00986FCC"/>
    <w:rsid w:val="009A087D"/>
    <w:rsid w:val="009A2B6D"/>
    <w:rsid w:val="009A3BFF"/>
    <w:rsid w:val="009A4D06"/>
    <w:rsid w:val="009B1790"/>
    <w:rsid w:val="009C112A"/>
    <w:rsid w:val="009C421C"/>
    <w:rsid w:val="009C42A7"/>
    <w:rsid w:val="009C7068"/>
    <w:rsid w:val="009D007C"/>
    <w:rsid w:val="009D3CE9"/>
    <w:rsid w:val="009D653E"/>
    <w:rsid w:val="009E17DD"/>
    <w:rsid w:val="009E460C"/>
    <w:rsid w:val="009E5E62"/>
    <w:rsid w:val="00A03345"/>
    <w:rsid w:val="00A03E56"/>
    <w:rsid w:val="00A0476D"/>
    <w:rsid w:val="00A06F65"/>
    <w:rsid w:val="00A12DDD"/>
    <w:rsid w:val="00A13DAC"/>
    <w:rsid w:val="00A15718"/>
    <w:rsid w:val="00A35A7B"/>
    <w:rsid w:val="00A35E44"/>
    <w:rsid w:val="00A36076"/>
    <w:rsid w:val="00A40BAF"/>
    <w:rsid w:val="00A4453A"/>
    <w:rsid w:val="00A60433"/>
    <w:rsid w:val="00A75118"/>
    <w:rsid w:val="00A8015A"/>
    <w:rsid w:val="00A80586"/>
    <w:rsid w:val="00A81193"/>
    <w:rsid w:val="00A8142D"/>
    <w:rsid w:val="00A840DD"/>
    <w:rsid w:val="00A86949"/>
    <w:rsid w:val="00A9345D"/>
    <w:rsid w:val="00A94416"/>
    <w:rsid w:val="00AA40BB"/>
    <w:rsid w:val="00AB2D3C"/>
    <w:rsid w:val="00AB5F98"/>
    <w:rsid w:val="00AC05D6"/>
    <w:rsid w:val="00AC1BB1"/>
    <w:rsid w:val="00AC2F32"/>
    <w:rsid w:val="00AC3142"/>
    <w:rsid w:val="00AC3B95"/>
    <w:rsid w:val="00AC6121"/>
    <w:rsid w:val="00AD589B"/>
    <w:rsid w:val="00AE26E5"/>
    <w:rsid w:val="00AE66D1"/>
    <w:rsid w:val="00AE6D82"/>
    <w:rsid w:val="00AF20E6"/>
    <w:rsid w:val="00AF4EF8"/>
    <w:rsid w:val="00AF6FBD"/>
    <w:rsid w:val="00AF7E03"/>
    <w:rsid w:val="00B01FAF"/>
    <w:rsid w:val="00B0699A"/>
    <w:rsid w:val="00B14D7F"/>
    <w:rsid w:val="00B154C6"/>
    <w:rsid w:val="00B15C21"/>
    <w:rsid w:val="00B2251D"/>
    <w:rsid w:val="00B22F43"/>
    <w:rsid w:val="00B46909"/>
    <w:rsid w:val="00B523B4"/>
    <w:rsid w:val="00B629EA"/>
    <w:rsid w:val="00B73F63"/>
    <w:rsid w:val="00B7455A"/>
    <w:rsid w:val="00B8088E"/>
    <w:rsid w:val="00B83DF9"/>
    <w:rsid w:val="00B9067C"/>
    <w:rsid w:val="00B94C7E"/>
    <w:rsid w:val="00BA2D38"/>
    <w:rsid w:val="00BB0B5D"/>
    <w:rsid w:val="00BB45DF"/>
    <w:rsid w:val="00BB6BBF"/>
    <w:rsid w:val="00BC3700"/>
    <w:rsid w:val="00BC61E2"/>
    <w:rsid w:val="00BE34C6"/>
    <w:rsid w:val="00BE70DE"/>
    <w:rsid w:val="00BE7723"/>
    <w:rsid w:val="00BF63E2"/>
    <w:rsid w:val="00C0324F"/>
    <w:rsid w:val="00C05346"/>
    <w:rsid w:val="00C062F1"/>
    <w:rsid w:val="00C065DE"/>
    <w:rsid w:val="00C34FE9"/>
    <w:rsid w:val="00C4210D"/>
    <w:rsid w:val="00C43C22"/>
    <w:rsid w:val="00C54D3B"/>
    <w:rsid w:val="00C60514"/>
    <w:rsid w:val="00C61972"/>
    <w:rsid w:val="00C640B9"/>
    <w:rsid w:val="00C7143C"/>
    <w:rsid w:val="00C74603"/>
    <w:rsid w:val="00C93560"/>
    <w:rsid w:val="00C97F7D"/>
    <w:rsid w:val="00CA3814"/>
    <w:rsid w:val="00CA4D56"/>
    <w:rsid w:val="00CA5EE3"/>
    <w:rsid w:val="00CB4B3D"/>
    <w:rsid w:val="00CB6E05"/>
    <w:rsid w:val="00CC095E"/>
    <w:rsid w:val="00CC1666"/>
    <w:rsid w:val="00CC24F0"/>
    <w:rsid w:val="00CC5F80"/>
    <w:rsid w:val="00CC62AE"/>
    <w:rsid w:val="00CD0187"/>
    <w:rsid w:val="00CD1932"/>
    <w:rsid w:val="00CD1987"/>
    <w:rsid w:val="00CD7554"/>
    <w:rsid w:val="00CF088A"/>
    <w:rsid w:val="00CF0D91"/>
    <w:rsid w:val="00CF25A0"/>
    <w:rsid w:val="00CF4B91"/>
    <w:rsid w:val="00CF5A89"/>
    <w:rsid w:val="00D06CC3"/>
    <w:rsid w:val="00D231B6"/>
    <w:rsid w:val="00D342AB"/>
    <w:rsid w:val="00D35402"/>
    <w:rsid w:val="00D4304A"/>
    <w:rsid w:val="00D43898"/>
    <w:rsid w:val="00D457AB"/>
    <w:rsid w:val="00D45B5B"/>
    <w:rsid w:val="00D612FC"/>
    <w:rsid w:val="00D75989"/>
    <w:rsid w:val="00D82120"/>
    <w:rsid w:val="00D83C94"/>
    <w:rsid w:val="00D842F0"/>
    <w:rsid w:val="00D85C12"/>
    <w:rsid w:val="00D875D5"/>
    <w:rsid w:val="00D87A1F"/>
    <w:rsid w:val="00DA17D4"/>
    <w:rsid w:val="00DA1F76"/>
    <w:rsid w:val="00DA4A43"/>
    <w:rsid w:val="00DC1117"/>
    <w:rsid w:val="00DD1B0B"/>
    <w:rsid w:val="00DD661E"/>
    <w:rsid w:val="00DE2C9A"/>
    <w:rsid w:val="00DE3856"/>
    <w:rsid w:val="00DF0340"/>
    <w:rsid w:val="00E14936"/>
    <w:rsid w:val="00E1743D"/>
    <w:rsid w:val="00E24507"/>
    <w:rsid w:val="00E26C6F"/>
    <w:rsid w:val="00E339A9"/>
    <w:rsid w:val="00E352FA"/>
    <w:rsid w:val="00E36413"/>
    <w:rsid w:val="00E40B72"/>
    <w:rsid w:val="00E65EBD"/>
    <w:rsid w:val="00E662F1"/>
    <w:rsid w:val="00E7120D"/>
    <w:rsid w:val="00E839D1"/>
    <w:rsid w:val="00E90335"/>
    <w:rsid w:val="00E9336A"/>
    <w:rsid w:val="00EA2776"/>
    <w:rsid w:val="00EA3856"/>
    <w:rsid w:val="00EA38E7"/>
    <w:rsid w:val="00EA3E7C"/>
    <w:rsid w:val="00EB1A89"/>
    <w:rsid w:val="00EB6960"/>
    <w:rsid w:val="00EC34DB"/>
    <w:rsid w:val="00EC59E7"/>
    <w:rsid w:val="00EC67AB"/>
    <w:rsid w:val="00EC6B83"/>
    <w:rsid w:val="00EC7825"/>
    <w:rsid w:val="00ED0BC0"/>
    <w:rsid w:val="00ED3731"/>
    <w:rsid w:val="00EE460C"/>
    <w:rsid w:val="00EE7219"/>
    <w:rsid w:val="00EF059C"/>
    <w:rsid w:val="00EF0D26"/>
    <w:rsid w:val="00EF63D7"/>
    <w:rsid w:val="00F0355E"/>
    <w:rsid w:val="00F04CF6"/>
    <w:rsid w:val="00F05154"/>
    <w:rsid w:val="00F254E0"/>
    <w:rsid w:val="00F32C4D"/>
    <w:rsid w:val="00F3741E"/>
    <w:rsid w:val="00F45CDC"/>
    <w:rsid w:val="00F50FBA"/>
    <w:rsid w:val="00F544C4"/>
    <w:rsid w:val="00F6315B"/>
    <w:rsid w:val="00F63A74"/>
    <w:rsid w:val="00F70ED8"/>
    <w:rsid w:val="00F7306D"/>
    <w:rsid w:val="00F73AC2"/>
    <w:rsid w:val="00F756B5"/>
    <w:rsid w:val="00F9126F"/>
    <w:rsid w:val="00FA29F2"/>
    <w:rsid w:val="00FB70CD"/>
    <w:rsid w:val="00FB7EB6"/>
    <w:rsid w:val="00FC2C9E"/>
    <w:rsid w:val="00FC496C"/>
    <w:rsid w:val="00FC6EF9"/>
    <w:rsid w:val="00FD0A4D"/>
    <w:rsid w:val="00FD56AF"/>
    <w:rsid w:val="00FE2052"/>
    <w:rsid w:val="00FE4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5DA11389"/>
  <w15:chartTrackingRefBased/>
  <w15:docId w15:val="{79A9DC6F-00D6-4675-A45C-39264F019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Times New Roman" w:eastAsia="ＭＳ 明朝" w:hAnsi="Century Gothic"/>
      <w:spacing w:val="-5"/>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1C7CF0"/>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CB6E05"/>
    <w:rPr>
      <w:rFonts w:ascii="Arial" w:eastAsia="ＭＳ ゴシック" w:hAnsi="Arial"/>
      <w:sz w:val="18"/>
      <w:szCs w:val="18"/>
    </w:rPr>
  </w:style>
  <w:style w:type="character" w:customStyle="1" w:styleId="a7">
    <w:name w:val="吹き出し (文字)"/>
    <w:link w:val="a6"/>
    <w:rsid w:val="00CB6E05"/>
    <w:rPr>
      <w:rFonts w:ascii="Arial" w:eastAsia="ＭＳ ゴシック" w:hAnsi="Arial" w:cs="Times New Roman"/>
      <w:spacing w:val="-5"/>
      <w:sz w:val="18"/>
      <w:szCs w:val="18"/>
    </w:rPr>
  </w:style>
  <w:style w:type="character" w:styleId="a8">
    <w:name w:val="Hyperlink"/>
    <w:rsid w:val="002D2FC2"/>
    <w:rPr>
      <w:color w:val="0563C1"/>
      <w:u w:val="single"/>
    </w:rPr>
  </w:style>
  <w:style w:type="character" w:customStyle="1" w:styleId="UnresolvedMention">
    <w:name w:val="Unresolved Mention"/>
    <w:uiPriority w:val="99"/>
    <w:semiHidden/>
    <w:unhideWhenUsed/>
    <w:rsid w:val="002D2FC2"/>
    <w:rPr>
      <w:color w:val="605E5C"/>
      <w:shd w:val="clear" w:color="auto" w:fill="E1DFDD"/>
    </w:rPr>
  </w:style>
  <w:style w:type="character" w:styleId="a9">
    <w:name w:val="annotation reference"/>
    <w:rsid w:val="00926135"/>
    <w:rPr>
      <w:sz w:val="18"/>
      <w:szCs w:val="18"/>
    </w:rPr>
  </w:style>
  <w:style w:type="paragraph" w:styleId="aa">
    <w:name w:val="annotation text"/>
    <w:basedOn w:val="a"/>
    <w:link w:val="ab"/>
    <w:rsid w:val="00926135"/>
    <w:pPr>
      <w:jc w:val="left"/>
    </w:pPr>
  </w:style>
  <w:style w:type="character" w:customStyle="1" w:styleId="ab">
    <w:name w:val="コメント文字列 (文字)"/>
    <w:link w:val="aa"/>
    <w:rsid w:val="00926135"/>
    <w:rPr>
      <w:rFonts w:ascii="Times New Roman" w:eastAsia="ＭＳ 明朝" w:hAnsi="Century Gothic"/>
      <w:spacing w:val="-5"/>
      <w:sz w:val="21"/>
    </w:rPr>
  </w:style>
  <w:style w:type="paragraph" w:styleId="ac">
    <w:name w:val="annotation subject"/>
    <w:basedOn w:val="aa"/>
    <w:next w:val="aa"/>
    <w:link w:val="ad"/>
    <w:rsid w:val="00926135"/>
    <w:rPr>
      <w:b/>
      <w:bCs/>
    </w:rPr>
  </w:style>
  <w:style w:type="character" w:customStyle="1" w:styleId="ad">
    <w:name w:val="コメント内容 (文字)"/>
    <w:link w:val="ac"/>
    <w:rsid w:val="00926135"/>
    <w:rPr>
      <w:rFonts w:ascii="Times New Roman" w:eastAsia="ＭＳ 明朝" w:hAnsi="Century Gothic"/>
      <w:b/>
      <w:bCs/>
      <w:spacing w:val="-5"/>
      <w:sz w:val="21"/>
    </w:rPr>
  </w:style>
  <w:style w:type="paragraph" w:styleId="Web">
    <w:name w:val="Normal (Web)"/>
    <w:basedOn w:val="a"/>
    <w:uiPriority w:val="99"/>
    <w:unhideWhenUsed/>
    <w:rsid w:val="00771A87"/>
    <w:pPr>
      <w:widowControl/>
      <w:adjustRightInd/>
      <w:spacing w:before="100" w:beforeAutospacing="1" w:after="100" w:afterAutospacing="1"/>
      <w:jc w:val="left"/>
      <w:textAlignment w:val="auto"/>
    </w:pPr>
    <w:rPr>
      <w:rFonts w:ascii="ＭＳ Ｐゴシック" w:eastAsia="ＭＳ Ｐゴシック" w:hAnsi="ＭＳ Ｐゴシック" w:cs="ＭＳ Ｐゴシック"/>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1768">
      <w:bodyDiv w:val="1"/>
      <w:marLeft w:val="0"/>
      <w:marRight w:val="0"/>
      <w:marTop w:val="0"/>
      <w:marBottom w:val="0"/>
      <w:divBdr>
        <w:top w:val="none" w:sz="0" w:space="0" w:color="auto"/>
        <w:left w:val="none" w:sz="0" w:space="0" w:color="auto"/>
        <w:bottom w:val="none" w:sz="0" w:space="0" w:color="auto"/>
        <w:right w:val="none" w:sz="0" w:space="0" w:color="auto"/>
      </w:divBdr>
    </w:div>
    <w:div w:id="609699017">
      <w:bodyDiv w:val="1"/>
      <w:marLeft w:val="0"/>
      <w:marRight w:val="0"/>
      <w:marTop w:val="0"/>
      <w:marBottom w:val="0"/>
      <w:divBdr>
        <w:top w:val="none" w:sz="0" w:space="0" w:color="auto"/>
        <w:left w:val="none" w:sz="0" w:space="0" w:color="auto"/>
        <w:bottom w:val="none" w:sz="0" w:space="0" w:color="auto"/>
        <w:right w:val="none" w:sz="0" w:space="0" w:color="auto"/>
      </w:divBdr>
    </w:div>
    <w:div w:id="845904346">
      <w:bodyDiv w:val="1"/>
      <w:marLeft w:val="0"/>
      <w:marRight w:val="0"/>
      <w:marTop w:val="0"/>
      <w:marBottom w:val="0"/>
      <w:divBdr>
        <w:top w:val="none" w:sz="0" w:space="0" w:color="auto"/>
        <w:left w:val="none" w:sz="0" w:space="0" w:color="auto"/>
        <w:bottom w:val="none" w:sz="0" w:space="0" w:color="auto"/>
        <w:right w:val="none" w:sz="0" w:space="0" w:color="auto"/>
      </w:divBdr>
    </w:div>
    <w:div w:id="964384977">
      <w:bodyDiv w:val="1"/>
      <w:marLeft w:val="0"/>
      <w:marRight w:val="0"/>
      <w:marTop w:val="0"/>
      <w:marBottom w:val="0"/>
      <w:divBdr>
        <w:top w:val="none" w:sz="0" w:space="0" w:color="auto"/>
        <w:left w:val="none" w:sz="0" w:space="0" w:color="auto"/>
        <w:bottom w:val="none" w:sz="0" w:space="0" w:color="auto"/>
        <w:right w:val="none" w:sz="0" w:space="0" w:color="auto"/>
      </w:divBdr>
    </w:div>
    <w:div w:id="1347906390">
      <w:bodyDiv w:val="1"/>
      <w:marLeft w:val="0"/>
      <w:marRight w:val="0"/>
      <w:marTop w:val="0"/>
      <w:marBottom w:val="0"/>
      <w:divBdr>
        <w:top w:val="none" w:sz="0" w:space="0" w:color="auto"/>
        <w:left w:val="none" w:sz="0" w:space="0" w:color="auto"/>
        <w:bottom w:val="none" w:sz="0" w:space="0" w:color="auto"/>
        <w:right w:val="none" w:sz="0" w:space="0" w:color="auto"/>
      </w:divBdr>
    </w:div>
    <w:div w:id="1487043368">
      <w:bodyDiv w:val="1"/>
      <w:marLeft w:val="0"/>
      <w:marRight w:val="0"/>
      <w:marTop w:val="0"/>
      <w:marBottom w:val="0"/>
      <w:divBdr>
        <w:top w:val="none" w:sz="0" w:space="0" w:color="auto"/>
        <w:left w:val="none" w:sz="0" w:space="0" w:color="auto"/>
        <w:bottom w:val="none" w:sz="0" w:space="0" w:color="auto"/>
        <w:right w:val="none" w:sz="0" w:space="0" w:color="auto"/>
      </w:divBdr>
    </w:div>
    <w:div w:id="1545212886">
      <w:bodyDiv w:val="1"/>
      <w:marLeft w:val="0"/>
      <w:marRight w:val="0"/>
      <w:marTop w:val="0"/>
      <w:marBottom w:val="0"/>
      <w:divBdr>
        <w:top w:val="none" w:sz="0" w:space="0" w:color="auto"/>
        <w:left w:val="none" w:sz="0" w:space="0" w:color="auto"/>
        <w:bottom w:val="none" w:sz="0" w:space="0" w:color="auto"/>
        <w:right w:val="none" w:sz="0" w:space="0" w:color="auto"/>
      </w:divBdr>
    </w:div>
    <w:div w:id="212638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387</Words>
  <Characters>2207</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ここでの１頁はニュースの0</vt:lpstr>
      <vt:lpstr>ここでの１頁はニュースの0</vt:lpstr>
    </vt:vector>
  </TitlesOfParts>
  <Company>社団法人　電線総合技術ｾﾝﾀ-</Company>
  <LinksUpToDate>false</LinksUpToDate>
  <CharactersWithSpaces>2589</CharactersWithSpaces>
  <SharedDoc>false</SharedDoc>
  <HLinks>
    <vt:vector size="12" baseType="variant">
      <vt:variant>
        <vt:i4>1376267</vt:i4>
      </vt:variant>
      <vt:variant>
        <vt:i4>3</vt:i4>
      </vt:variant>
      <vt:variant>
        <vt:i4>0</vt:i4>
      </vt:variant>
      <vt:variant>
        <vt:i4>5</vt:i4>
      </vt:variant>
      <vt:variant>
        <vt:lpwstr>https://www.atsdr.cdc.gov/ToxProfiles/tp9.pdf</vt:lpwstr>
      </vt:variant>
      <vt:variant>
        <vt:lpwstr/>
      </vt:variant>
      <vt:variant>
        <vt:i4>3276870</vt:i4>
      </vt:variant>
      <vt:variant>
        <vt:i4>0</vt:i4>
      </vt:variant>
      <vt:variant>
        <vt:i4>0</vt:i4>
      </vt:variant>
      <vt:variant>
        <vt:i4>5</vt:i4>
      </vt:variant>
      <vt:variant>
        <vt:lpwstr>https://www.meti.go.jp/policy/chemical_management/kasinhou/files/information/ra/ra1_210330_10.pdf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ここでの１頁はニュースの0</dc:title>
  <dc:subject/>
  <dc:creator>細川</dc:creator>
  <cp:keywords/>
  <cp:lastModifiedBy>古賀 周治</cp:lastModifiedBy>
  <cp:revision>7</cp:revision>
  <cp:lastPrinted>2018-09-05T07:49:00Z</cp:lastPrinted>
  <dcterms:created xsi:type="dcterms:W3CDTF">2024-10-02T06:43:00Z</dcterms:created>
  <dcterms:modified xsi:type="dcterms:W3CDTF">2024-10-20T23:35:00Z</dcterms:modified>
</cp:coreProperties>
</file>