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F6261" w14:textId="19C545AD" w:rsidR="0062324E" w:rsidRPr="001043CA" w:rsidRDefault="00396F8A" w:rsidP="0062324E">
      <w:pPr>
        <w:rPr>
          <w:rFonts w:ascii="ＭＳ 明朝" w:hAnsi="ＭＳ 明朝"/>
          <w:szCs w:val="21"/>
        </w:rPr>
      </w:pPr>
      <w:r w:rsidRPr="001043CA">
        <w:rPr>
          <w:rFonts w:ascii="ＭＳ 明朝" w:hAnsi="ＭＳ 明朝" w:hint="eastAsia"/>
          <w:szCs w:val="21"/>
        </w:rPr>
        <w:t>１</w:t>
      </w:r>
      <w:r w:rsidR="00D87A1F" w:rsidRPr="001043CA">
        <w:rPr>
          <w:noProof/>
        </w:rPr>
        <mc:AlternateContent>
          <mc:Choice Requires="wps">
            <w:drawing>
              <wp:anchor distT="0" distB="0" distL="114300" distR="114300" simplePos="0" relativeHeight="251658240" behindDoc="0" locked="0" layoutInCell="1" allowOverlap="1" wp14:anchorId="0A82AC51" wp14:editId="143A4066">
                <wp:simplePos x="0" y="0"/>
                <wp:positionH relativeFrom="column">
                  <wp:posOffset>-7620</wp:posOffset>
                </wp:positionH>
                <wp:positionV relativeFrom="paragraph">
                  <wp:posOffset>-818515</wp:posOffset>
                </wp:positionV>
                <wp:extent cx="6278880" cy="293370"/>
                <wp:effectExtent l="0" t="0" r="0" b="0"/>
                <wp:wrapNone/>
                <wp:docPr id="17508145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293370"/>
                        </a:xfrm>
                        <a:prstGeom prst="rect">
                          <a:avLst/>
                        </a:prstGeom>
                        <a:solidFill>
                          <a:srgbClr val="FFFFFF"/>
                        </a:solidFill>
                        <a:ln w="9525">
                          <a:solidFill>
                            <a:srgbClr val="FF0000"/>
                          </a:solidFill>
                          <a:miter lim="800000"/>
                          <a:headEnd/>
                          <a:tailEnd/>
                        </a:ln>
                      </wps:spPr>
                      <wps:txb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82AC51" id="_x0000_t202" coordsize="21600,21600" o:spt="202" path="m,l,21600r21600,l21600,xe">
                <v:stroke joinstyle="miter"/>
                <v:path gradientshapeok="t" o:connecttype="rect"/>
              </v:shapetype>
              <v:shape id="テキスト ボックス 2" o:spid="_x0000_s1026" type="#_x0000_t202" style="position:absolute;left:0;text-align:left;margin-left:-.6pt;margin-top:-64.45pt;width:494.4pt;height:2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" strokecolor="red">
                <v:textbo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v:textbox>
              </v:shape>
            </w:pict>
          </mc:Fallback>
        </mc:AlternateContent>
      </w:r>
      <w:r w:rsidR="00D87A1F" w:rsidRPr="001043CA">
        <w:rPr>
          <w:noProof/>
          <w:sz w:val="20"/>
        </w:rPr>
        <mc:AlternateContent>
          <mc:Choice Requires="wps">
            <w:drawing>
              <wp:anchor distT="0" distB="0" distL="114300" distR="114300" simplePos="0" relativeHeight="251657216" behindDoc="0" locked="0" layoutInCell="1" allowOverlap="1" wp14:anchorId="521964E2" wp14:editId="79002591">
                <wp:simplePos x="0" y="0"/>
                <wp:positionH relativeFrom="column">
                  <wp:posOffset>6985</wp:posOffset>
                </wp:positionH>
                <wp:positionV relativeFrom="paragraph">
                  <wp:posOffset>-511810</wp:posOffset>
                </wp:positionV>
                <wp:extent cx="6278880" cy="504825"/>
                <wp:effectExtent l="0" t="0" r="0" b="0"/>
                <wp:wrapNone/>
                <wp:docPr id="4715177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504825"/>
                        </a:xfrm>
                        <a:prstGeom prst="rect">
                          <a:avLst/>
                        </a:prstGeom>
                        <a:solidFill>
                          <a:srgbClr val="FFFFFF"/>
                        </a:solidFill>
                        <a:ln w="9525">
                          <a:solidFill>
                            <a:srgbClr val="000000"/>
                          </a:solidFill>
                          <a:miter lim="800000"/>
                          <a:headEnd/>
                          <a:tailEnd/>
                        </a:ln>
                      </wps:spPr>
                      <wps:txbx>
                        <w:txbxContent>
                          <w:p w14:paraId="3C1B6FC1" w14:textId="305F1FE3" w:rsidR="009A3BFF" w:rsidRPr="005D01A2" w:rsidRDefault="007E578E" w:rsidP="00884C1F">
                            <w:pPr>
                              <w:rPr>
                                <w:rFonts w:ascii="ＭＳ 明朝" w:hAnsi="ＭＳ 明朝"/>
                                <w:szCs w:val="21"/>
                              </w:rPr>
                            </w:pPr>
                            <w:r w:rsidRPr="007E578E">
                              <w:rPr>
                                <w:rFonts w:ascii="ＭＳ 明朝" w:hAnsi="ＭＳ 明朝" w:hint="eastAsia"/>
                                <w:szCs w:val="21"/>
                              </w:rPr>
                              <w:t>可塑剤に</w:t>
                            </w:r>
                            <w:r w:rsidR="00292202">
                              <w:rPr>
                                <w:rFonts w:ascii="ＭＳ 明朝" w:hAnsi="ＭＳ 明朝" w:hint="eastAsia"/>
                                <w:szCs w:val="21"/>
                              </w:rPr>
                              <w:t>関連</w:t>
                            </w:r>
                            <w:r w:rsidRPr="007E578E">
                              <w:rPr>
                                <w:rFonts w:ascii="ＭＳ 明朝" w:hAnsi="ＭＳ 明朝" w:hint="eastAsia"/>
                                <w:szCs w:val="21"/>
                              </w:rPr>
                              <w:t>する最新の規制動向</w:t>
                            </w:r>
                          </w:p>
                          <w:p w14:paraId="039B18BB" w14:textId="77777777" w:rsidR="009A3BFF" w:rsidRPr="00884C1F" w:rsidRDefault="009A3B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964E2" id="Text Box 2" o:spid="_x0000_s1027" type="#_x0000_t202" style="position:absolute;left:0;text-align:left;margin-left:.55pt;margin-top:-40.3pt;width:494.4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">
                <v:textbox>
                  <w:txbxContent>
                    <w:p w14:paraId="3C1B6FC1" w14:textId="305F1FE3" w:rsidR="009A3BFF" w:rsidRPr="005D01A2" w:rsidRDefault="007E578E" w:rsidP="00884C1F">
                      <w:pPr>
                        <w:rPr>
                          <w:rFonts w:ascii="ＭＳ 明朝" w:hAnsi="ＭＳ 明朝"/>
                          <w:szCs w:val="21"/>
                        </w:rPr>
                      </w:pPr>
                      <w:r w:rsidRPr="007E578E">
                        <w:rPr>
                          <w:rFonts w:ascii="ＭＳ 明朝" w:hAnsi="ＭＳ 明朝" w:hint="eastAsia"/>
                          <w:szCs w:val="21"/>
                        </w:rPr>
                        <w:t>可塑剤に</w:t>
                      </w:r>
                      <w:r w:rsidR="00292202">
                        <w:rPr>
                          <w:rFonts w:ascii="ＭＳ 明朝" w:hAnsi="ＭＳ 明朝" w:hint="eastAsia"/>
                          <w:szCs w:val="21"/>
                        </w:rPr>
                        <w:t>関連</w:t>
                      </w:r>
                      <w:r w:rsidRPr="007E578E">
                        <w:rPr>
                          <w:rFonts w:ascii="ＭＳ 明朝" w:hAnsi="ＭＳ 明朝" w:hint="eastAsia"/>
                          <w:szCs w:val="21"/>
                        </w:rPr>
                        <w:t>する最新の規制動向</w:t>
                      </w:r>
                    </w:p>
                    <w:p w14:paraId="039B18BB" w14:textId="77777777" w:rsidR="009A3BFF" w:rsidRPr="00884C1F" w:rsidRDefault="009A3BFF"/>
                  </w:txbxContent>
                </v:textbox>
              </v:shape>
            </w:pict>
          </mc:Fallback>
        </mc:AlternateContent>
      </w:r>
      <w:r w:rsidR="0062324E" w:rsidRPr="001043CA">
        <w:rPr>
          <w:rFonts w:ascii="ＭＳ 明朝" w:hAnsi="ＭＳ 明朝" w:hint="eastAsia"/>
          <w:szCs w:val="21"/>
        </w:rPr>
        <w:t>．はじめに</w:t>
      </w:r>
    </w:p>
    <w:p w14:paraId="708D4F93" w14:textId="0335159C" w:rsidR="009250E1" w:rsidRPr="001043CA" w:rsidRDefault="00057A7F" w:rsidP="009250E1">
      <w:pPr>
        <w:rPr>
          <w:rFonts w:ascii="ＭＳ 明朝" w:hAnsi="ＭＳ 明朝"/>
          <w:szCs w:val="21"/>
        </w:rPr>
      </w:pPr>
      <w:r w:rsidRPr="001043CA">
        <w:rPr>
          <w:rFonts w:ascii="ＭＳ 明朝" w:hAnsi="ＭＳ 明朝" w:hint="eastAsia"/>
          <w:szCs w:val="21"/>
        </w:rPr>
        <w:t>国内外の</w:t>
      </w:r>
      <w:r w:rsidR="009250E1" w:rsidRPr="001043CA">
        <w:rPr>
          <w:rFonts w:ascii="ＭＳ 明朝" w:hAnsi="ＭＳ 明朝" w:hint="eastAsia"/>
          <w:szCs w:val="21"/>
        </w:rPr>
        <w:t>可塑剤に</w:t>
      </w:r>
      <w:r w:rsidR="00FA3646" w:rsidRPr="001043CA">
        <w:rPr>
          <w:rFonts w:ascii="ＭＳ 明朝" w:hAnsi="ＭＳ 明朝" w:hint="eastAsia"/>
          <w:szCs w:val="21"/>
        </w:rPr>
        <w:t>関連する</w:t>
      </w:r>
      <w:r w:rsidR="009250E1" w:rsidRPr="001043CA">
        <w:rPr>
          <w:rFonts w:ascii="ＭＳ 明朝" w:hAnsi="ＭＳ 明朝" w:hint="eastAsia"/>
          <w:szCs w:val="21"/>
        </w:rPr>
        <w:t>最新の規制動向と当工業会の活動を中心にご紹介します。</w:t>
      </w:r>
    </w:p>
    <w:p w14:paraId="0ED99ACF" w14:textId="77777777" w:rsidR="002127B5" w:rsidRPr="001043CA" w:rsidRDefault="002127B5" w:rsidP="0062324E">
      <w:pPr>
        <w:rPr>
          <w:rFonts w:ascii="ＭＳ 明朝" w:hAnsi="ＭＳ 明朝"/>
          <w:szCs w:val="21"/>
        </w:rPr>
      </w:pPr>
    </w:p>
    <w:p w14:paraId="2D09DED7" w14:textId="2FC8C932" w:rsidR="002127B5" w:rsidRPr="001043CA" w:rsidRDefault="002127B5" w:rsidP="0062324E">
      <w:pPr>
        <w:rPr>
          <w:rFonts w:ascii="ＭＳ 明朝" w:hAnsi="ＭＳ 明朝"/>
          <w:szCs w:val="21"/>
        </w:rPr>
      </w:pPr>
      <w:r w:rsidRPr="001043CA">
        <w:rPr>
          <w:rFonts w:ascii="ＭＳ 明朝" w:hAnsi="ＭＳ 明朝" w:hint="eastAsia"/>
          <w:szCs w:val="21"/>
        </w:rPr>
        <w:t>２．</w:t>
      </w:r>
      <w:r w:rsidR="008C5256" w:rsidRPr="001043CA">
        <w:rPr>
          <w:rFonts w:ascii="ＭＳ 明朝" w:hAnsi="ＭＳ 明朝" w:hint="eastAsia"/>
          <w:szCs w:val="21"/>
        </w:rPr>
        <w:t>日本</w:t>
      </w:r>
    </w:p>
    <w:p w14:paraId="7062CB9D" w14:textId="6EE27220" w:rsidR="002127B5" w:rsidRPr="001043CA" w:rsidRDefault="00F972C9" w:rsidP="0062324E">
      <w:pPr>
        <w:rPr>
          <w:rFonts w:ascii="ＭＳ 明朝" w:hAnsi="ＭＳ 明朝"/>
          <w:szCs w:val="21"/>
        </w:rPr>
      </w:pPr>
      <w:r w:rsidRPr="001043CA">
        <w:rPr>
          <w:rFonts w:ascii="ＭＳ 明朝" w:hAnsi="ＭＳ 明朝" w:hint="eastAsia"/>
          <w:szCs w:val="21"/>
        </w:rPr>
        <w:t>1）</w:t>
      </w:r>
      <w:r w:rsidR="009227A2" w:rsidRPr="001043CA">
        <w:rPr>
          <w:rFonts w:ascii="ＭＳ 明朝" w:hAnsi="ＭＳ 明朝" w:hint="eastAsia"/>
          <w:szCs w:val="21"/>
        </w:rPr>
        <w:t>化学物質の審査及び製造等の規制に関する法律（</w:t>
      </w:r>
      <w:r w:rsidRPr="001043CA">
        <w:rPr>
          <w:rFonts w:ascii="ＭＳ 明朝" w:hAnsi="ＭＳ 明朝" w:hint="eastAsia"/>
          <w:szCs w:val="21"/>
        </w:rPr>
        <w:t>化審法</w:t>
      </w:r>
      <w:r w:rsidR="009227A2" w:rsidRPr="001043CA">
        <w:rPr>
          <w:rFonts w:ascii="ＭＳ 明朝" w:hAnsi="ＭＳ 明朝" w:hint="eastAsia"/>
          <w:szCs w:val="21"/>
        </w:rPr>
        <w:t>）</w:t>
      </w:r>
    </w:p>
    <w:p w14:paraId="029F48E6" w14:textId="70DB78CB" w:rsidR="002127B5" w:rsidRPr="001043CA" w:rsidRDefault="00C930EA" w:rsidP="005F4D8F">
      <w:pPr>
        <w:ind w:firstLineChars="50" w:firstLine="96"/>
        <w:rPr>
          <w:rFonts w:ascii="ＭＳ 明朝" w:hAnsi="ＭＳ 明朝"/>
          <w:szCs w:val="21"/>
        </w:rPr>
      </w:pPr>
      <w:r w:rsidRPr="001043CA">
        <w:rPr>
          <w:rFonts w:ascii="ＭＳ 明朝" w:hAnsi="ＭＳ 明朝" w:hint="eastAsia"/>
          <w:szCs w:val="21"/>
        </w:rPr>
        <w:t>化審法は1973年に制定した化学物質による環境の汚染を防止するために制定された法律です。2011年の改正では、リスク管理の観点から動植物への影響に着目した審査・規制制度や環境中への放出可能性を考慮した審査制度が新たに導入されました。可塑剤では2011年にDEHPが優先評価化学物質に指定され、更に2021年3月にはリスク評価（一次）評価Ⅰから評価Ⅱへ移行しました</w:t>
      </w:r>
      <w:r w:rsidRPr="001043CA">
        <w:rPr>
          <w:rFonts w:ascii="ＭＳ 明朝" w:hAnsi="ＭＳ 明朝" w:hint="eastAsia"/>
          <w:szCs w:val="21"/>
          <w:vertAlign w:val="superscript"/>
        </w:rPr>
        <w:t>1)</w:t>
      </w:r>
      <w:r w:rsidRPr="001043CA">
        <w:rPr>
          <w:rFonts w:ascii="ＭＳ 明朝" w:hAnsi="ＭＳ 明朝" w:hint="eastAsia"/>
          <w:szCs w:val="21"/>
        </w:rPr>
        <w:t>。2026</w:t>
      </w:r>
      <w:r w:rsidR="00EB5A8F" w:rsidRPr="001043CA">
        <w:rPr>
          <w:rFonts w:ascii="ＭＳ 明朝" w:hAnsi="ＭＳ 明朝" w:hint="eastAsia"/>
          <w:szCs w:val="21"/>
        </w:rPr>
        <w:t>年度</w:t>
      </w:r>
      <w:r w:rsidRPr="001043CA">
        <w:rPr>
          <w:rFonts w:ascii="ＭＳ 明朝" w:hAnsi="ＭＳ 明朝" w:hint="eastAsia"/>
          <w:szCs w:val="21"/>
        </w:rPr>
        <w:t>以降（延期となる可能性あり）、当局によるリスク評価を経て第二種特定化学物質か一般化学物質に差戻しかが審議される計画となって</w:t>
      </w:r>
      <w:r w:rsidR="000320C6" w:rsidRPr="001043CA">
        <w:rPr>
          <w:rFonts w:ascii="ＭＳ 明朝" w:hAnsi="ＭＳ 明朝" w:hint="eastAsia"/>
          <w:szCs w:val="21"/>
        </w:rPr>
        <w:t>います</w:t>
      </w:r>
      <w:r w:rsidRPr="001043CA">
        <w:rPr>
          <w:rFonts w:ascii="ＭＳ 明朝" w:hAnsi="ＭＳ 明朝" w:hint="eastAsia"/>
          <w:szCs w:val="21"/>
        </w:rPr>
        <w:t>。</w:t>
      </w:r>
    </w:p>
    <w:p w14:paraId="6DAA81CE" w14:textId="368C4A7B" w:rsidR="002127B5" w:rsidRPr="001043CA" w:rsidRDefault="00F972C9" w:rsidP="0062324E">
      <w:pPr>
        <w:rPr>
          <w:rFonts w:ascii="ＭＳ 明朝" w:hAnsi="ＭＳ 明朝"/>
          <w:szCs w:val="21"/>
          <w:lang w:eastAsia="zh-TW"/>
        </w:rPr>
      </w:pPr>
      <w:r w:rsidRPr="001043CA">
        <w:rPr>
          <w:rFonts w:ascii="ＭＳ 明朝" w:hAnsi="ＭＳ 明朝" w:hint="eastAsia"/>
          <w:szCs w:val="21"/>
          <w:lang w:eastAsia="zh-TW"/>
        </w:rPr>
        <w:t>2）</w:t>
      </w:r>
      <w:r w:rsidR="00F57323" w:rsidRPr="001043CA">
        <w:rPr>
          <w:rFonts w:ascii="ＭＳ 明朝" w:hAnsi="ＭＳ 明朝" w:hint="eastAsia"/>
          <w:szCs w:val="21"/>
          <w:lang w:eastAsia="zh-TW"/>
        </w:rPr>
        <w:t>化学物質排出把握管理促進法　（化管法）</w:t>
      </w:r>
    </w:p>
    <w:p w14:paraId="48839229" w14:textId="77777777" w:rsidR="00EE5042" w:rsidRPr="001043CA" w:rsidRDefault="009F21A1" w:rsidP="005F4D8F">
      <w:pPr>
        <w:ind w:firstLineChars="50" w:firstLine="96"/>
        <w:rPr>
          <w:rFonts w:ascii="ＭＳ 明朝" w:hAnsi="ＭＳ 明朝"/>
          <w:szCs w:val="21"/>
        </w:rPr>
      </w:pPr>
      <w:r w:rsidRPr="001043CA">
        <w:rPr>
          <w:rFonts w:ascii="ＭＳ 明朝" w:hAnsi="ＭＳ 明朝" w:hint="eastAsia"/>
          <w:szCs w:val="21"/>
        </w:rPr>
        <w:t>化管法は2001年に制定した事業者による化学物質の自主的な管理の改善を促進する法律で、化学物質排出・移動量届出（PRTR）制度と安全データシート（SDS）制度を柱としています。SDS制度は事業者が対象化学物質またはそれを含有する製品を他の事業者に提供する際、その化学物質の性状や安全性、取り扱いに関する情報をSDSとして事前に提供することを義務付けるとともに、ラベルによる表示に努めるというものです。</w:t>
      </w:r>
    </w:p>
    <w:p w14:paraId="34468AA5" w14:textId="2258958C" w:rsidR="002127B5" w:rsidRPr="001043CA" w:rsidRDefault="009F21A1" w:rsidP="00EE5042">
      <w:pPr>
        <w:ind w:firstLineChars="100" w:firstLine="192"/>
        <w:rPr>
          <w:rFonts w:ascii="ＭＳ 明朝" w:hAnsi="ＭＳ 明朝"/>
          <w:szCs w:val="21"/>
        </w:rPr>
      </w:pPr>
      <w:r w:rsidRPr="001043CA">
        <w:rPr>
          <w:rFonts w:ascii="ＭＳ 明朝" w:hAnsi="ＭＳ 明朝" w:hint="eastAsia"/>
          <w:szCs w:val="21"/>
        </w:rPr>
        <w:t>2021年の化管法改正では、可塑剤で第一種指定化学物質に既に指定されているDBP、DEHPに加え、2023年4月1日よりアジピン酸ジ</w:t>
      </w:r>
      <w:r w:rsidR="006D5060" w:rsidRPr="001043CA">
        <w:rPr>
          <w:rFonts w:ascii="ＭＳ 明朝" w:hAnsi="ＭＳ 明朝" w:hint="eastAsia"/>
          <w:szCs w:val="21"/>
        </w:rPr>
        <w:t>-</w:t>
      </w:r>
      <w:r w:rsidRPr="001043CA">
        <w:rPr>
          <w:rFonts w:ascii="ＭＳ 明朝" w:hAnsi="ＭＳ 明朝" w:hint="eastAsia"/>
          <w:szCs w:val="21"/>
        </w:rPr>
        <w:t>２</w:t>
      </w:r>
      <w:r w:rsidR="006D5060" w:rsidRPr="001043CA">
        <w:rPr>
          <w:rFonts w:ascii="ＭＳ 明朝" w:hAnsi="ＭＳ 明朝" w:hint="eastAsia"/>
          <w:szCs w:val="21"/>
        </w:rPr>
        <w:t>-</w:t>
      </w:r>
      <w:r w:rsidRPr="001043CA">
        <w:rPr>
          <w:rFonts w:ascii="ＭＳ 明朝" w:hAnsi="ＭＳ 明朝" w:hint="eastAsia"/>
          <w:szCs w:val="21"/>
        </w:rPr>
        <w:t>エチルヘキシル（DOA）が第一種指定化学物質に再指定となりました。</w:t>
      </w:r>
    </w:p>
    <w:p w14:paraId="4717054B" w14:textId="51A23BF8" w:rsidR="002127B5" w:rsidRPr="001043CA" w:rsidRDefault="00F57323" w:rsidP="0062324E">
      <w:pPr>
        <w:rPr>
          <w:rFonts w:ascii="ＭＳ 明朝" w:hAnsi="ＭＳ 明朝"/>
          <w:szCs w:val="21"/>
          <w:lang w:eastAsia="zh-TW"/>
        </w:rPr>
      </w:pPr>
      <w:r w:rsidRPr="001043CA">
        <w:rPr>
          <w:rFonts w:ascii="ＭＳ 明朝" w:hAnsi="ＭＳ 明朝" w:hint="eastAsia"/>
          <w:szCs w:val="21"/>
          <w:lang w:eastAsia="zh-TW"/>
        </w:rPr>
        <w:t>3）労働安全衛生法（安衛法）</w:t>
      </w:r>
    </w:p>
    <w:p w14:paraId="13264CD6" w14:textId="5A7F2C20" w:rsidR="002127B5" w:rsidRPr="001043CA" w:rsidRDefault="00882147" w:rsidP="005F4D8F">
      <w:pPr>
        <w:ind w:firstLineChars="50" w:firstLine="96"/>
        <w:rPr>
          <w:rFonts w:ascii="ＭＳ 明朝" w:hAnsi="ＭＳ 明朝"/>
          <w:szCs w:val="21"/>
        </w:rPr>
      </w:pPr>
      <w:r w:rsidRPr="001043CA">
        <w:rPr>
          <w:rFonts w:ascii="ＭＳ 明朝" w:hAnsi="ＭＳ 明朝" w:hint="eastAsia"/>
          <w:szCs w:val="21"/>
        </w:rPr>
        <w:t>化管法、毒物及び劇物取締法（毒劇法）とならび、SDS 三法である労働安全衛生法（安衛法）が2022年2月に改正されました。人健康で所定以上の政府分類となっている製品を対象に2025年までに2000物質程度が指定物質に追加される内容</w:t>
      </w:r>
      <w:r w:rsidRPr="001043CA">
        <w:rPr>
          <w:rFonts w:ascii="ＭＳ 明朝" w:hAnsi="ＭＳ 明朝" w:hint="eastAsia"/>
          <w:szCs w:val="21"/>
          <w:vertAlign w:val="superscript"/>
        </w:rPr>
        <w:t>２)</w:t>
      </w:r>
      <w:r w:rsidRPr="001043CA">
        <w:rPr>
          <w:rFonts w:ascii="ＭＳ 明朝" w:hAnsi="ＭＳ 明朝" w:hint="eastAsia"/>
          <w:szCs w:val="21"/>
        </w:rPr>
        <w:t>で、可塑剤ではTCP、DINP、DIDP等が指定化学物質として追加対象となっております。</w:t>
      </w:r>
    </w:p>
    <w:p w14:paraId="24DB1AF7" w14:textId="45E66A24" w:rsidR="002127B5" w:rsidRPr="001043CA" w:rsidRDefault="004B135F" w:rsidP="004B135F">
      <w:pPr>
        <w:ind w:firstLineChars="100" w:firstLine="192"/>
        <w:rPr>
          <w:rFonts w:ascii="ＭＳ 明朝" w:hAnsi="ＭＳ 明朝"/>
          <w:szCs w:val="21"/>
          <w:lang w:eastAsia="zh-TW"/>
        </w:rPr>
      </w:pPr>
      <w:r w:rsidRPr="001043CA">
        <w:rPr>
          <w:rFonts w:ascii="ＭＳ 明朝" w:hAnsi="ＭＳ 明朝" w:hint="eastAsia"/>
          <w:szCs w:val="21"/>
        </w:rPr>
        <w:t>当工業会においても</w:t>
      </w:r>
      <w:r w:rsidR="00CE5A97" w:rsidRPr="001043CA">
        <w:rPr>
          <w:rFonts w:ascii="ＭＳ 明朝" w:hAnsi="ＭＳ 明朝" w:hint="eastAsia"/>
          <w:szCs w:val="21"/>
        </w:rPr>
        <w:t>見直しされた規定に基づいて、</w:t>
      </w:r>
      <w:r w:rsidR="004C6B30" w:rsidRPr="001043CA">
        <w:rPr>
          <w:rFonts w:ascii="ＭＳ 明朝" w:hAnsi="ＭＳ 明朝" w:hint="eastAsia"/>
          <w:szCs w:val="21"/>
        </w:rPr>
        <w:t>当</w:t>
      </w:r>
      <w:r w:rsidR="00CE5A97" w:rsidRPr="001043CA">
        <w:rPr>
          <w:rFonts w:ascii="ＭＳ 明朝" w:hAnsi="ＭＳ 明朝" w:hint="eastAsia"/>
          <w:szCs w:val="21"/>
        </w:rPr>
        <w:t>工業会のSDSの内容を精査し、全般にわたって見直しを実施</w:t>
      </w:r>
      <w:r w:rsidR="00E41FD3" w:rsidRPr="001043CA">
        <w:rPr>
          <w:rFonts w:ascii="ＭＳ 明朝" w:hAnsi="ＭＳ 明朝" w:hint="eastAsia"/>
          <w:szCs w:val="21"/>
        </w:rPr>
        <w:t>、</w:t>
      </w:r>
      <w:r w:rsidR="00CE5A97" w:rsidRPr="001043CA">
        <w:rPr>
          <w:rFonts w:ascii="ＭＳ 明朝" w:hAnsi="ＭＳ 明朝" w:hint="eastAsia"/>
          <w:szCs w:val="21"/>
        </w:rPr>
        <w:t>改訂版を公表しま</w:t>
      </w:r>
      <w:r w:rsidR="00E41FD3" w:rsidRPr="001043CA">
        <w:rPr>
          <w:rFonts w:ascii="ＭＳ 明朝" w:hAnsi="ＭＳ 明朝" w:hint="eastAsia"/>
          <w:szCs w:val="21"/>
        </w:rPr>
        <w:t>した</w:t>
      </w:r>
      <w:r w:rsidR="00CE5A97" w:rsidRPr="001043CA">
        <w:rPr>
          <w:rFonts w:ascii="ＭＳ 明朝" w:hAnsi="ＭＳ 明朝" w:hint="eastAsia"/>
          <w:szCs w:val="21"/>
        </w:rPr>
        <w:t>。</w:t>
      </w:r>
      <w:r w:rsidR="00F26A2B" w:rsidRPr="001043CA">
        <w:rPr>
          <w:rFonts w:ascii="ＭＳ 明朝" w:hAnsi="ＭＳ 明朝" w:hint="eastAsia"/>
          <w:szCs w:val="21"/>
          <w:vertAlign w:val="superscript"/>
          <w:lang w:eastAsia="zh-TW"/>
        </w:rPr>
        <w:t>3</w:t>
      </w:r>
      <w:r w:rsidR="00E41FD3" w:rsidRPr="001043CA">
        <w:rPr>
          <w:rFonts w:ascii="ＭＳ 明朝" w:hAnsi="ＭＳ 明朝" w:hint="eastAsia"/>
          <w:szCs w:val="21"/>
          <w:vertAlign w:val="superscript"/>
          <w:lang w:eastAsia="zh-TW"/>
        </w:rPr>
        <w:t>）</w:t>
      </w:r>
    </w:p>
    <w:p w14:paraId="4E15D177" w14:textId="77B4303D" w:rsidR="00F57323" w:rsidRPr="001043CA" w:rsidRDefault="004828B2" w:rsidP="0062324E">
      <w:pPr>
        <w:rPr>
          <w:rFonts w:ascii="ＭＳ 明朝" w:hAnsi="ＭＳ 明朝"/>
          <w:szCs w:val="21"/>
          <w:lang w:eastAsia="zh-TW"/>
        </w:rPr>
      </w:pPr>
      <w:r w:rsidRPr="001043CA">
        <w:rPr>
          <w:rFonts w:ascii="ＭＳ 明朝" w:hAnsi="ＭＳ 明朝" w:hint="eastAsia"/>
          <w:szCs w:val="21"/>
          <w:lang w:eastAsia="zh-TW"/>
        </w:rPr>
        <w:t>4）食品衛生法（PL制度）</w:t>
      </w:r>
    </w:p>
    <w:p w14:paraId="573E3788" w14:textId="77777777" w:rsidR="004E177D" w:rsidRPr="001043CA" w:rsidRDefault="00C41537" w:rsidP="005F4D8F">
      <w:pPr>
        <w:ind w:firstLineChars="50" w:firstLine="96"/>
        <w:rPr>
          <w:rFonts w:ascii="ＭＳ 明朝" w:hAnsi="ＭＳ 明朝"/>
          <w:szCs w:val="21"/>
        </w:rPr>
      </w:pPr>
      <w:r w:rsidRPr="001043CA">
        <w:rPr>
          <w:rFonts w:ascii="ＭＳ 明朝" w:hAnsi="ＭＳ 明朝" w:hint="eastAsia"/>
          <w:szCs w:val="21"/>
        </w:rPr>
        <w:t>食品衛生法では、</w:t>
      </w:r>
      <w:r w:rsidR="009B31C4" w:rsidRPr="001043CA">
        <w:rPr>
          <w:rFonts w:ascii="ＭＳ 明朝" w:hAnsi="ＭＳ 明朝" w:hint="eastAsia"/>
          <w:szCs w:val="21"/>
        </w:rPr>
        <w:t>2010年に</w:t>
      </w:r>
      <w:r w:rsidRPr="001043CA">
        <w:rPr>
          <w:rFonts w:ascii="ＭＳ 明朝" w:hAnsi="ＭＳ 明朝" w:hint="eastAsia"/>
          <w:szCs w:val="21"/>
        </w:rPr>
        <w:t>DBP、DEHP、BBP、DINP、DIDP、DNOPの6種フタル酸エステルが世界で初めて玩具・育児製品用途向けに0.1重量％以上の配合が使用制限となり、その後欧米や中国でも同様の規制となりました。</w:t>
      </w:r>
    </w:p>
    <w:p w14:paraId="0E1FD447" w14:textId="535F7F6C" w:rsidR="004828B2" w:rsidRPr="001043CA" w:rsidRDefault="00C41537" w:rsidP="005F4D8F">
      <w:pPr>
        <w:ind w:firstLineChars="50" w:firstLine="96"/>
        <w:rPr>
          <w:rFonts w:ascii="ＭＳ 明朝" w:hAnsi="ＭＳ 明朝"/>
          <w:szCs w:val="21"/>
        </w:rPr>
      </w:pPr>
      <w:r w:rsidRPr="001043CA">
        <w:rPr>
          <w:rFonts w:ascii="ＭＳ 明朝" w:hAnsi="ＭＳ 明朝" w:hint="eastAsia"/>
          <w:szCs w:val="21"/>
        </w:rPr>
        <w:t>2018年6月に「食品用器具・容器包装のPL（ポジティ</w:t>
      </w:r>
      <w:r w:rsidRPr="001043CA">
        <w:rPr>
          <w:rFonts w:ascii="ＭＳ 明朝" w:hAnsi="ＭＳ 明朝" w:hint="eastAsia"/>
          <w:szCs w:val="21"/>
        </w:rPr>
        <w:t>ブリスト）制度」が改正され、合成樹脂製の食品用器具・容器包装について安全性を評価した物質のみを使用可能とするPLを制定・改編し、2025年</w:t>
      </w:r>
      <w:r w:rsidR="008F5ECC" w:rsidRPr="001043CA">
        <w:rPr>
          <w:rFonts w:ascii="ＭＳ 明朝" w:hAnsi="ＭＳ 明朝" w:hint="eastAsia"/>
          <w:szCs w:val="21"/>
        </w:rPr>
        <w:t>6</w:t>
      </w:r>
      <w:r w:rsidRPr="001043CA">
        <w:rPr>
          <w:rFonts w:ascii="ＭＳ 明朝" w:hAnsi="ＭＳ 明朝" w:hint="eastAsia"/>
          <w:szCs w:val="21"/>
        </w:rPr>
        <w:t>月</w:t>
      </w:r>
      <w:r w:rsidR="008F5ECC" w:rsidRPr="001043CA">
        <w:rPr>
          <w:rFonts w:ascii="ＭＳ 明朝" w:hAnsi="ＭＳ 明朝" w:hint="eastAsia"/>
          <w:szCs w:val="21"/>
        </w:rPr>
        <w:t>1</w:t>
      </w:r>
      <w:r w:rsidRPr="001043CA">
        <w:rPr>
          <w:rFonts w:ascii="ＭＳ 明朝" w:hAnsi="ＭＳ 明朝" w:hint="eastAsia"/>
          <w:szCs w:val="21"/>
        </w:rPr>
        <w:t>日以降、管理しようとするものです。可塑剤に関しては、旧塩ビ食品衛生協議会(JHPA)で自主的に使用が許可された製品の中で使用実績のある可塑剤が引き続き、PLに収載されることが決まりました</w:t>
      </w:r>
      <w:r w:rsidR="008F5ECC" w:rsidRPr="001043CA">
        <w:rPr>
          <w:rFonts w:ascii="ＭＳ 明朝" w:hAnsi="ＭＳ 明朝" w:hint="eastAsia"/>
          <w:szCs w:val="21"/>
          <w:vertAlign w:val="superscript"/>
        </w:rPr>
        <w:t>4</w:t>
      </w:r>
      <w:r w:rsidRPr="001043CA">
        <w:rPr>
          <w:rFonts w:ascii="ＭＳ 明朝" w:hAnsi="ＭＳ 明朝" w:hint="eastAsia"/>
          <w:szCs w:val="21"/>
          <w:vertAlign w:val="superscript"/>
        </w:rPr>
        <w:t>)</w:t>
      </w:r>
      <w:r w:rsidRPr="001043CA">
        <w:rPr>
          <w:rFonts w:ascii="ＭＳ 明朝" w:hAnsi="ＭＳ 明朝" w:hint="eastAsia"/>
          <w:szCs w:val="21"/>
        </w:rPr>
        <w:t>（DEHPでは引き続き油脂及び脂肪性食品に接触する部分は使用不可)。2025年6月よりPL制度が正式に施行開始となります</w:t>
      </w:r>
      <w:r w:rsidR="008F5ECC" w:rsidRPr="001043CA">
        <w:rPr>
          <w:rFonts w:ascii="ＭＳ 明朝" w:hAnsi="ＭＳ 明朝" w:hint="eastAsia"/>
          <w:szCs w:val="21"/>
          <w:vertAlign w:val="superscript"/>
        </w:rPr>
        <w:t>5</w:t>
      </w:r>
      <w:r w:rsidR="00F14623" w:rsidRPr="001043CA">
        <w:rPr>
          <w:rFonts w:ascii="ＭＳ 明朝" w:hAnsi="ＭＳ 明朝" w:hint="eastAsia"/>
          <w:szCs w:val="21"/>
          <w:vertAlign w:val="superscript"/>
        </w:rPr>
        <w:t>）</w:t>
      </w:r>
      <w:r w:rsidRPr="001043CA">
        <w:rPr>
          <w:rFonts w:ascii="ＭＳ 明朝" w:hAnsi="ＭＳ 明朝" w:hint="eastAsia"/>
          <w:szCs w:val="21"/>
        </w:rPr>
        <w:t>。</w:t>
      </w:r>
    </w:p>
    <w:p w14:paraId="0DB7DAE7" w14:textId="30213EC6" w:rsidR="004828B2" w:rsidRPr="001043CA" w:rsidRDefault="004828B2" w:rsidP="0062324E">
      <w:pPr>
        <w:rPr>
          <w:rFonts w:ascii="ＭＳ 明朝" w:hAnsi="ＭＳ 明朝"/>
          <w:szCs w:val="21"/>
        </w:rPr>
      </w:pPr>
      <w:r w:rsidRPr="001043CA">
        <w:rPr>
          <w:rFonts w:ascii="ＭＳ 明朝" w:hAnsi="ＭＳ 明朝" w:hint="eastAsia"/>
          <w:szCs w:val="21"/>
        </w:rPr>
        <w:t>5）</w:t>
      </w:r>
      <w:r w:rsidR="001A6B44" w:rsidRPr="001043CA">
        <w:rPr>
          <w:rFonts w:ascii="ＭＳ 明朝" w:hAnsi="ＭＳ 明朝" w:hint="eastAsia"/>
          <w:szCs w:val="21"/>
        </w:rPr>
        <w:t>シックハウス（室内空気汚染）問題</w:t>
      </w:r>
    </w:p>
    <w:p w14:paraId="3D4F71CC" w14:textId="5A2CADD5" w:rsidR="00145604" w:rsidRPr="00145604" w:rsidRDefault="00145604" w:rsidP="00117772">
      <w:pPr>
        <w:ind w:firstLineChars="100" w:firstLine="192"/>
        <w:rPr>
          <w:rFonts w:ascii="ＭＳ 明朝" w:hAnsi="ＭＳ 明朝"/>
          <w:szCs w:val="21"/>
        </w:rPr>
      </w:pPr>
      <w:r w:rsidRPr="00145604">
        <w:rPr>
          <w:rFonts w:ascii="ＭＳ 明朝" w:hAnsi="ＭＳ 明朝" w:hint="eastAsia"/>
          <w:szCs w:val="21"/>
        </w:rPr>
        <w:t>1997年頃より居住環境に起因する健康影響の問題</w:t>
      </w:r>
      <w:r w:rsidR="00180FD8" w:rsidRPr="001043CA">
        <w:rPr>
          <w:rFonts w:ascii="ＭＳ 明朝" w:hAnsi="ＭＳ 明朝" w:hint="eastAsia"/>
          <w:szCs w:val="21"/>
        </w:rPr>
        <w:t>（シックハウス問題）</w:t>
      </w:r>
      <w:r w:rsidRPr="00145604">
        <w:rPr>
          <w:rFonts w:ascii="ＭＳ 明朝" w:hAnsi="ＭＳ 明朝" w:hint="eastAsia"/>
          <w:szCs w:val="21"/>
        </w:rPr>
        <w:t>が生じ、</w:t>
      </w:r>
      <w:r w:rsidR="00FD38D5" w:rsidRPr="001043CA">
        <w:rPr>
          <w:rFonts w:ascii="ＭＳ 明朝" w:hAnsi="ＭＳ 明朝" w:hint="eastAsia"/>
          <w:szCs w:val="21"/>
        </w:rPr>
        <w:t>現在</w:t>
      </w:r>
      <w:r w:rsidRPr="00145604">
        <w:rPr>
          <w:rFonts w:ascii="ＭＳ 明朝" w:hAnsi="ＭＳ 明朝" w:hint="eastAsia"/>
          <w:szCs w:val="21"/>
        </w:rPr>
        <w:t>13物質に「室内濃度指針値」が設定されて</w:t>
      </w:r>
      <w:r w:rsidR="00BF6B5E" w:rsidRPr="001043CA">
        <w:rPr>
          <w:rFonts w:ascii="ＭＳ 明朝" w:hAnsi="ＭＳ 明朝" w:hint="eastAsia"/>
          <w:szCs w:val="21"/>
        </w:rPr>
        <w:t>います</w:t>
      </w:r>
      <w:r w:rsidRPr="00145604">
        <w:rPr>
          <w:rFonts w:ascii="ＭＳ 明朝" w:hAnsi="ＭＳ 明朝" w:hint="eastAsia"/>
          <w:szCs w:val="21"/>
        </w:rPr>
        <w:t>。</w:t>
      </w:r>
    </w:p>
    <w:p w14:paraId="4EDA05D3" w14:textId="77777777" w:rsidR="00794329" w:rsidRPr="00145604" w:rsidRDefault="00145604" w:rsidP="00117772">
      <w:pPr>
        <w:ind w:firstLineChars="100" w:firstLine="192"/>
        <w:rPr>
          <w:rFonts w:ascii="ＭＳ 明朝" w:hAnsi="ＭＳ 明朝"/>
          <w:szCs w:val="21"/>
        </w:rPr>
      </w:pPr>
      <w:r w:rsidRPr="00145604">
        <w:rPr>
          <w:rFonts w:ascii="ＭＳ 明朝" w:hAnsi="ＭＳ 明朝" w:hint="eastAsia"/>
          <w:szCs w:val="21"/>
        </w:rPr>
        <w:t>室内濃度指針値は、現状において入手可能な科学的知見に基づき、人がその化学物質の示された濃度以下の暴露を一生涯受けたとしても、健康への有害な影響を受けないであろうとの判断により設定された値</w:t>
      </w:r>
      <w:r w:rsidR="00BF6B5E" w:rsidRPr="001043CA">
        <w:rPr>
          <w:rFonts w:ascii="ＭＳ 明朝" w:hAnsi="ＭＳ 明朝" w:hint="eastAsia"/>
          <w:szCs w:val="21"/>
        </w:rPr>
        <w:t>です</w:t>
      </w:r>
      <w:r w:rsidRPr="00145604">
        <w:rPr>
          <w:rFonts w:ascii="ＭＳ 明朝" w:hAnsi="ＭＳ 明朝" w:hint="eastAsia"/>
          <w:szCs w:val="21"/>
        </w:rPr>
        <w:t>。</w:t>
      </w:r>
      <w:r w:rsidR="00794329" w:rsidRPr="00145604">
        <w:rPr>
          <w:rFonts w:ascii="ＭＳ 明朝" w:hAnsi="ＭＳ 明朝" w:hint="eastAsia"/>
          <w:szCs w:val="21"/>
        </w:rPr>
        <w:t>室内濃度指針値は公衆衛生の観点から、化学物質の不必要な暴露を低減させ、それらが健康影響の危惧を起こすことなく安全かつ適正に使用されるようにすることを目的に、関係者がシックハウス対策に取り組むにあたって参考にしていただきたい値として策定してい</w:t>
      </w:r>
      <w:r w:rsidR="00794329" w:rsidRPr="001043CA">
        <w:rPr>
          <w:rFonts w:ascii="ＭＳ 明朝" w:hAnsi="ＭＳ 明朝" w:hint="eastAsia"/>
          <w:szCs w:val="21"/>
        </w:rPr>
        <w:t>ます</w:t>
      </w:r>
      <w:r w:rsidR="00794329" w:rsidRPr="00145604">
        <w:rPr>
          <w:rFonts w:ascii="ＭＳ 明朝" w:hAnsi="ＭＳ 明朝" w:hint="eastAsia"/>
          <w:szCs w:val="21"/>
        </w:rPr>
        <w:t>。</w:t>
      </w:r>
    </w:p>
    <w:p w14:paraId="72952E37" w14:textId="07E600E1" w:rsidR="009E1B1A" w:rsidRPr="009E1B1A" w:rsidRDefault="004603C6" w:rsidP="00EC25DC">
      <w:pPr>
        <w:ind w:firstLineChars="100" w:firstLine="192"/>
        <w:rPr>
          <w:rFonts w:ascii="ＭＳ 明朝" w:hAnsi="ＭＳ 明朝"/>
          <w:szCs w:val="21"/>
        </w:rPr>
      </w:pPr>
      <w:r w:rsidRPr="001043CA">
        <w:rPr>
          <w:rFonts w:ascii="ＭＳ 明朝" w:hAnsi="ＭＳ 明朝" w:hint="eastAsia"/>
          <w:szCs w:val="21"/>
        </w:rPr>
        <w:t>シックハウス（室内空気汚染）問題に関する検討会（検討会）では、化学物質による室内空気汚染について、国内外の情報及び最新の科学的知見を評価するとともに、必要に応じて室内濃度指針値の設定・見直しの検討及び標準的測定方法の検討等を行って</w:t>
      </w:r>
      <w:r w:rsidR="00517297" w:rsidRPr="001043CA">
        <w:rPr>
          <w:rFonts w:ascii="ＭＳ 明朝" w:hAnsi="ＭＳ 明朝" w:hint="eastAsia"/>
          <w:szCs w:val="21"/>
        </w:rPr>
        <w:t>います</w:t>
      </w:r>
      <w:r w:rsidRPr="001043CA">
        <w:rPr>
          <w:rFonts w:ascii="ＭＳ 明朝" w:hAnsi="ＭＳ 明朝" w:hint="eastAsia"/>
          <w:szCs w:val="21"/>
        </w:rPr>
        <w:t>。</w:t>
      </w:r>
      <w:r w:rsidR="009E1B1A" w:rsidRPr="009E1B1A">
        <w:rPr>
          <w:rFonts w:ascii="ＭＳ 明朝" w:hAnsi="ＭＳ 明朝" w:hint="eastAsia"/>
          <w:szCs w:val="21"/>
        </w:rPr>
        <w:t>2024年度の検討会で、2-エチル-1-ヘキサノール（2E1H）の初期リスク評価</w:t>
      </w:r>
      <w:r w:rsidR="00DF355E" w:rsidRPr="001043CA">
        <w:rPr>
          <w:rFonts w:ascii="ＭＳ 明朝" w:hAnsi="ＭＳ 明朝" w:hint="eastAsia"/>
          <w:szCs w:val="21"/>
        </w:rPr>
        <w:t>が</w:t>
      </w:r>
      <w:r w:rsidR="00EC25DC" w:rsidRPr="001043CA">
        <w:rPr>
          <w:rFonts w:ascii="ＭＳ 明朝" w:hAnsi="ＭＳ 明朝" w:hint="eastAsia"/>
          <w:szCs w:val="21"/>
        </w:rPr>
        <w:t>行われました</w:t>
      </w:r>
      <w:r w:rsidR="00797E92" w:rsidRPr="001043CA">
        <w:rPr>
          <w:rFonts w:ascii="ＭＳ 明朝" w:hAnsi="ＭＳ 明朝" w:hint="eastAsia"/>
          <w:szCs w:val="21"/>
          <w:vertAlign w:val="superscript"/>
        </w:rPr>
        <w:t>6</w:t>
      </w:r>
      <w:r w:rsidR="001E125C" w:rsidRPr="001043CA">
        <w:rPr>
          <w:rFonts w:ascii="ＭＳ 明朝" w:hAnsi="ＭＳ 明朝" w:hint="eastAsia"/>
          <w:szCs w:val="21"/>
          <w:vertAlign w:val="superscript"/>
        </w:rPr>
        <w:t>）</w:t>
      </w:r>
      <w:r w:rsidR="009E1B1A" w:rsidRPr="009E1B1A">
        <w:rPr>
          <w:rFonts w:ascii="ＭＳ 明朝" w:hAnsi="ＭＳ 明朝" w:hint="eastAsia"/>
          <w:szCs w:val="21"/>
        </w:rPr>
        <w:t>。</w:t>
      </w:r>
    </w:p>
    <w:p w14:paraId="55C50911" w14:textId="77777777" w:rsidR="00B5587C" w:rsidRPr="001043CA" w:rsidRDefault="00EA10B4" w:rsidP="00EC25DC">
      <w:pPr>
        <w:ind w:firstLineChars="100" w:firstLine="192"/>
        <w:rPr>
          <w:rFonts w:ascii="ＭＳ 明朝" w:hAnsi="ＭＳ 明朝"/>
          <w:szCs w:val="21"/>
        </w:rPr>
      </w:pPr>
      <w:r w:rsidRPr="001043CA">
        <w:rPr>
          <w:rFonts w:ascii="ＭＳ 明朝" w:hAnsi="ＭＳ 明朝" w:hint="eastAsia"/>
          <w:szCs w:val="21"/>
        </w:rPr>
        <w:t>初期リスク評価では、</w:t>
      </w:r>
      <w:r w:rsidR="009E1B1A" w:rsidRPr="009E1B1A">
        <w:rPr>
          <w:rFonts w:ascii="ＭＳ 明朝" w:hAnsi="ＭＳ 明朝" w:hint="eastAsia"/>
          <w:szCs w:val="21"/>
        </w:rPr>
        <w:t>暴露マージン（MOE）が不確実係数積（UFs）を下回る場合にリスクが高いと判断</w:t>
      </w:r>
      <w:r w:rsidR="002160B5" w:rsidRPr="001043CA">
        <w:rPr>
          <w:rFonts w:ascii="ＭＳ 明朝" w:hAnsi="ＭＳ 明朝" w:hint="eastAsia"/>
          <w:szCs w:val="21"/>
        </w:rPr>
        <w:t>し、</w:t>
      </w:r>
      <w:r w:rsidR="004B005A" w:rsidRPr="001043CA">
        <w:rPr>
          <w:rFonts w:ascii="ＭＳ 明朝" w:hAnsi="ＭＳ 明朝" w:hint="eastAsia"/>
          <w:szCs w:val="21"/>
        </w:rPr>
        <w:t>詳細リスク評価に進</w:t>
      </w:r>
      <w:r w:rsidR="002160B5" w:rsidRPr="001043CA">
        <w:rPr>
          <w:rFonts w:ascii="ＭＳ 明朝" w:hAnsi="ＭＳ 明朝" w:hint="eastAsia"/>
          <w:szCs w:val="21"/>
        </w:rPr>
        <w:t>む</w:t>
      </w:r>
      <w:r w:rsidR="004B005A" w:rsidRPr="001043CA">
        <w:rPr>
          <w:rFonts w:ascii="ＭＳ 明朝" w:hAnsi="ＭＳ 明朝" w:hint="eastAsia"/>
          <w:szCs w:val="21"/>
        </w:rPr>
        <w:t>こととして</w:t>
      </w:r>
      <w:r w:rsidR="00946A51" w:rsidRPr="001043CA">
        <w:rPr>
          <w:rFonts w:ascii="ＭＳ 明朝" w:hAnsi="ＭＳ 明朝" w:hint="eastAsia"/>
          <w:szCs w:val="21"/>
        </w:rPr>
        <w:t>い</w:t>
      </w:r>
      <w:r w:rsidR="004B005A" w:rsidRPr="001043CA">
        <w:rPr>
          <w:rFonts w:ascii="ＭＳ 明朝" w:hAnsi="ＭＳ 明朝" w:hint="eastAsia"/>
          <w:szCs w:val="21"/>
        </w:rPr>
        <w:t>ます。</w:t>
      </w:r>
    </w:p>
    <w:p w14:paraId="2BA21FA3" w14:textId="77777777" w:rsidR="00854B18" w:rsidRPr="001043CA" w:rsidRDefault="00854B18" w:rsidP="00DC6A8F">
      <w:pPr>
        <w:rPr>
          <w:rFonts w:ascii="ＭＳ 明朝" w:hAnsi="ＭＳ 明朝"/>
          <w:szCs w:val="21"/>
        </w:rPr>
      </w:pPr>
    </w:p>
    <w:p w14:paraId="0719482F" w14:textId="5BD3556C" w:rsidR="009B3E03" w:rsidRPr="001043CA" w:rsidRDefault="00C44C1E" w:rsidP="00DC6A8F">
      <w:pPr>
        <w:rPr>
          <w:rFonts w:ascii="ＭＳ 明朝" w:hAnsi="ＭＳ 明朝"/>
          <w:szCs w:val="21"/>
        </w:rPr>
      </w:pPr>
      <w:r w:rsidRPr="00C44C1E">
        <w:drawing>
          <wp:inline distT="0" distB="0" distL="0" distR="0" wp14:anchorId="0C6F88DA" wp14:editId="762DEE29">
            <wp:extent cx="3052445" cy="350520"/>
            <wp:effectExtent l="0" t="0" r="0" b="0"/>
            <wp:docPr id="58545076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2445" cy="350520"/>
                    </a:xfrm>
                    <a:prstGeom prst="rect">
                      <a:avLst/>
                    </a:prstGeom>
                    <a:noFill/>
                    <a:ln>
                      <a:noFill/>
                    </a:ln>
                  </pic:spPr>
                </pic:pic>
              </a:graphicData>
            </a:graphic>
          </wp:inline>
        </w:drawing>
      </w:r>
    </w:p>
    <w:p w14:paraId="7F829846" w14:textId="77777777" w:rsidR="00B5587C" w:rsidRPr="001043CA" w:rsidRDefault="00B5587C" w:rsidP="00DC6A8F">
      <w:pPr>
        <w:rPr>
          <w:rFonts w:ascii="ＭＳ 明朝" w:hAnsi="ＭＳ 明朝"/>
          <w:szCs w:val="21"/>
        </w:rPr>
      </w:pPr>
    </w:p>
    <w:p w14:paraId="26F0CF04" w14:textId="7865C4D5" w:rsidR="00AE638A" w:rsidRPr="001043CA" w:rsidRDefault="009B3E03" w:rsidP="00DC6A8F">
      <w:pPr>
        <w:rPr>
          <w:rFonts w:ascii="ＭＳ 明朝" w:hAnsi="ＭＳ 明朝"/>
          <w:szCs w:val="21"/>
        </w:rPr>
      </w:pPr>
      <w:r w:rsidRPr="001043CA">
        <w:rPr>
          <w:rFonts w:ascii="ＭＳ 明朝" w:hAnsi="ＭＳ 明朝" w:hint="eastAsia"/>
          <w:szCs w:val="21"/>
        </w:rPr>
        <w:t>2E1Hの初期リスク評価の概要は</w:t>
      </w:r>
      <w:r w:rsidR="00064C24" w:rsidRPr="001043CA">
        <w:rPr>
          <w:rFonts w:ascii="ＭＳ 明朝" w:hAnsi="ＭＳ 明朝" w:hint="eastAsia"/>
          <w:szCs w:val="21"/>
        </w:rPr>
        <w:t>表</w:t>
      </w:r>
      <w:r w:rsidR="00C44C1E">
        <w:rPr>
          <w:rFonts w:ascii="ＭＳ 明朝" w:hAnsi="ＭＳ 明朝" w:hint="eastAsia"/>
          <w:szCs w:val="21"/>
        </w:rPr>
        <w:t>1</w:t>
      </w:r>
      <w:r w:rsidR="00064C24" w:rsidRPr="001043CA">
        <w:rPr>
          <w:rFonts w:ascii="ＭＳ 明朝" w:hAnsi="ＭＳ 明朝" w:hint="eastAsia"/>
          <w:szCs w:val="21"/>
        </w:rPr>
        <w:t>の</w:t>
      </w:r>
      <w:r w:rsidR="00F226F0" w:rsidRPr="001043CA">
        <w:rPr>
          <w:rFonts w:ascii="ＭＳ 明朝" w:hAnsi="ＭＳ 明朝" w:hint="eastAsia"/>
          <w:szCs w:val="21"/>
        </w:rPr>
        <w:t>とおりであり、現時点ではリスクは高くないと判断されました。</w:t>
      </w:r>
    </w:p>
    <w:p w14:paraId="3D7C6D20" w14:textId="486758FC" w:rsidR="00AE638A" w:rsidRPr="00C44C1E" w:rsidRDefault="00AE638A" w:rsidP="00DC6A8F">
      <w:pPr>
        <w:rPr>
          <w:rFonts w:ascii="ＭＳ 明朝" w:hAnsi="ＭＳ 明朝"/>
          <w:szCs w:val="21"/>
        </w:rPr>
      </w:pPr>
    </w:p>
    <w:p w14:paraId="039DBF03" w14:textId="49F91A25" w:rsidR="00AE638A" w:rsidRPr="001043CA" w:rsidRDefault="00B5587C" w:rsidP="00DC6A8F">
      <w:pPr>
        <w:rPr>
          <w:rFonts w:ascii="ＭＳ 明朝" w:hAnsi="ＭＳ 明朝"/>
          <w:szCs w:val="21"/>
        </w:rPr>
      </w:pPr>
      <w:r w:rsidRPr="001043CA">
        <w:rPr>
          <w:rFonts w:ascii="ＭＳ 明朝" w:hAnsi="ＭＳ 明朝" w:hint="eastAsia"/>
          <w:szCs w:val="21"/>
        </w:rPr>
        <w:t>表</w:t>
      </w:r>
      <w:r w:rsidR="00C44C1E">
        <w:rPr>
          <w:rFonts w:ascii="ＭＳ 明朝" w:hAnsi="ＭＳ 明朝" w:hint="eastAsia"/>
          <w:szCs w:val="21"/>
        </w:rPr>
        <w:t>1</w:t>
      </w:r>
      <w:r w:rsidR="001E3F23" w:rsidRPr="001043CA">
        <w:rPr>
          <w:rFonts w:ascii="ＭＳ 明朝" w:hAnsi="ＭＳ 明朝" w:hint="eastAsia"/>
          <w:szCs w:val="21"/>
        </w:rPr>
        <w:t>．</w:t>
      </w:r>
      <w:r w:rsidR="00484EE0" w:rsidRPr="001043CA">
        <w:rPr>
          <w:rFonts w:ascii="ＭＳ 明朝" w:hAnsi="ＭＳ 明朝" w:hint="eastAsia"/>
          <w:szCs w:val="21"/>
        </w:rPr>
        <w:t>2E1Hの初期リスク評価の概要</w:t>
      </w:r>
    </w:p>
    <w:p w14:paraId="30938F8A" w14:textId="0B6A8E25" w:rsidR="00AE638A" w:rsidRPr="001043CA" w:rsidRDefault="00C44C1E" w:rsidP="00DC6A8F">
      <w:pPr>
        <w:rPr>
          <w:rFonts w:ascii="ＭＳ 明朝" w:hAnsi="ＭＳ 明朝"/>
          <w:szCs w:val="21"/>
        </w:rPr>
      </w:pPr>
      <w:r w:rsidRPr="00C44C1E">
        <w:drawing>
          <wp:inline distT="0" distB="0" distL="0" distR="0" wp14:anchorId="6BC342E1" wp14:editId="437A681E">
            <wp:extent cx="3052445" cy="794385"/>
            <wp:effectExtent l="0" t="0" r="0" b="5715"/>
            <wp:docPr id="153638470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2445" cy="794385"/>
                    </a:xfrm>
                    <a:prstGeom prst="rect">
                      <a:avLst/>
                    </a:prstGeom>
                    <a:noFill/>
                    <a:ln>
                      <a:noFill/>
                    </a:ln>
                  </pic:spPr>
                </pic:pic>
              </a:graphicData>
            </a:graphic>
          </wp:inline>
        </w:drawing>
      </w:r>
    </w:p>
    <w:p w14:paraId="3D058708" w14:textId="77777777" w:rsidR="00484EE0" w:rsidRPr="001043CA" w:rsidRDefault="00484EE0" w:rsidP="00DC6A8F">
      <w:pPr>
        <w:rPr>
          <w:rFonts w:ascii="ＭＳ 明朝" w:hAnsi="ＭＳ 明朝"/>
          <w:szCs w:val="21"/>
        </w:rPr>
      </w:pPr>
    </w:p>
    <w:p w14:paraId="63E041CB" w14:textId="69FE7ABE" w:rsidR="00DC6A8F" w:rsidRPr="00DC6A8F" w:rsidRDefault="00226555" w:rsidP="00DC6A8F">
      <w:pPr>
        <w:rPr>
          <w:rFonts w:ascii="ＭＳ 明朝" w:hAnsi="ＭＳ 明朝"/>
          <w:szCs w:val="21"/>
        </w:rPr>
      </w:pPr>
      <w:r w:rsidRPr="001043CA">
        <w:rPr>
          <w:rFonts w:ascii="ＭＳ 明朝" w:hAnsi="ＭＳ 明朝" w:hint="eastAsia"/>
          <w:szCs w:val="21"/>
        </w:rPr>
        <w:lastRenderedPageBreak/>
        <w:t>検討会の中間報告書</w:t>
      </w:r>
      <w:r w:rsidR="00015E7F" w:rsidRPr="001043CA">
        <w:rPr>
          <w:rFonts w:ascii="ＭＳ 明朝" w:hAnsi="ＭＳ 明朝" w:hint="eastAsia"/>
          <w:szCs w:val="21"/>
        </w:rPr>
        <w:t>（案）</w:t>
      </w:r>
      <w:r w:rsidRPr="001043CA">
        <w:rPr>
          <w:rFonts w:ascii="ＭＳ 明朝" w:hAnsi="ＭＳ 明朝" w:hint="eastAsia"/>
          <w:szCs w:val="21"/>
        </w:rPr>
        <w:t>では</w:t>
      </w:r>
      <w:r w:rsidR="0026324E" w:rsidRPr="001043CA">
        <w:rPr>
          <w:rFonts w:ascii="ＭＳ 明朝" w:hAnsi="ＭＳ 明朝" w:hint="eastAsia"/>
          <w:szCs w:val="21"/>
        </w:rPr>
        <w:t>、</w:t>
      </w:r>
      <w:r w:rsidR="009D7015" w:rsidRPr="001043CA">
        <w:rPr>
          <w:rFonts w:ascii="ＭＳ 明朝" w:hAnsi="ＭＳ 明朝" w:hint="eastAsia"/>
          <w:szCs w:val="21"/>
        </w:rPr>
        <w:t>「</w:t>
      </w:r>
      <w:r w:rsidR="009E1B1A" w:rsidRPr="009E1B1A">
        <w:rPr>
          <w:rFonts w:ascii="ＭＳ 明朝" w:hAnsi="ＭＳ 明朝" w:hint="eastAsia"/>
          <w:szCs w:val="21"/>
        </w:rPr>
        <w:t>2E1H は、いずれの毒性項目においても MOE の値は UFsの値を上回って</w:t>
      </w:r>
      <w:r w:rsidR="00555840" w:rsidRPr="001043CA">
        <w:rPr>
          <w:rFonts w:ascii="ＭＳ 明朝" w:hAnsi="ＭＳ 明朝" w:hint="eastAsia"/>
          <w:szCs w:val="21"/>
        </w:rPr>
        <w:t>いたため、</w:t>
      </w:r>
      <w:r w:rsidR="009E1B1A" w:rsidRPr="009E1B1A">
        <w:rPr>
          <w:rFonts w:ascii="ＭＳ 明朝" w:hAnsi="ＭＳ 明朝" w:hint="eastAsia"/>
          <w:szCs w:val="21"/>
        </w:rPr>
        <w:t>国内における実態調査により測定された室内空気中の2E1H 濃度が維持される限りは、人健康影響（一般毒性、生殖発生毒性、発がん性）に関するリスクは高くないと考えられる</w:t>
      </w:r>
      <w:r w:rsidR="00AB4FD5" w:rsidRPr="001043CA">
        <w:rPr>
          <w:rFonts w:ascii="ＭＳ 明朝" w:hAnsi="ＭＳ 明朝" w:hint="eastAsia"/>
          <w:szCs w:val="21"/>
        </w:rPr>
        <w:t>。</w:t>
      </w:r>
      <w:r w:rsidR="009E1B1A" w:rsidRPr="001043CA">
        <w:rPr>
          <w:rFonts w:ascii="ＭＳ 明朝" w:hAnsi="ＭＳ 明朝" w:hint="eastAsia"/>
          <w:szCs w:val="21"/>
        </w:rPr>
        <w:t>ただし、一般居住住宅以外での実態調査の必要性も指摘されており、引き続き実態調査を行う必要がある</w:t>
      </w:r>
      <w:r w:rsidR="00B8135B" w:rsidRPr="001043CA">
        <w:rPr>
          <w:rFonts w:ascii="ＭＳ 明朝" w:hAnsi="ＭＳ 明朝" w:hint="eastAsia"/>
          <w:szCs w:val="21"/>
        </w:rPr>
        <w:t>。」</w:t>
      </w:r>
      <w:r w:rsidR="00DC6A8F" w:rsidRPr="001043CA">
        <w:rPr>
          <w:rFonts w:ascii="ＭＳ 明朝" w:hAnsi="ＭＳ 明朝" w:hint="eastAsia"/>
          <w:szCs w:val="21"/>
        </w:rPr>
        <w:t>とまとめられ</w:t>
      </w:r>
      <w:r w:rsidR="00985E06" w:rsidRPr="001043CA">
        <w:rPr>
          <w:rFonts w:ascii="ＭＳ 明朝" w:hAnsi="ＭＳ 明朝" w:hint="eastAsia"/>
          <w:szCs w:val="21"/>
        </w:rPr>
        <w:t>ました。</w:t>
      </w:r>
      <w:r w:rsidR="00DC6A8F" w:rsidRPr="00DC6A8F">
        <w:rPr>
          <w:rFonts w:ascii="ＭＳ 明朝" w:hAnsi="ＭＳ 明朝" w:hint="eastAsia"/>
          <w:szCs w:val="21"/>
        </w:rPr>
        <w:t>今後、パブリックコメントが行われ</w:t>
      </w:r>
      <w:r w:rsidR="004452A2" w:rsidRPr="001043CA">
        <w:rPr>
          <w:rFonts w:ascii="ＭＳ 明朝" w:hAnsi="ＭＳ 明朝" w:hint="eastAsia"/>
          <w:szCs w:val="21"/>
        </w:rPr>
        <w:t>ます</w:t>
      </w:r>
      <w:r w:rsidR="00DC6A8F" w:rsidRPr="00DC6A8F">
        <w:rPr>
          <w:rFonts w:ascii="ＭＳ 明朝" w:hAnsi="ＭＳ 明朝" w:hint="eastAsia"/>
          <w:szCs w:val="21"/>
        </w:rPr>
        <w:t>。</w:t>
      </w:r>
    </w:p>
    <w:p w14:paraId="5BF60761" w14:textId="2D48FF95" w:rsidR="00941602" w:rsidRPr="001043CA" w:rsidRDefault="00941602" w:rsidP="009E1B1A">
      <w:pPr>
        <w:rPr>
          <w:rFonts w:ascii="ＭＳ 明朝" w:hAnsi="ＭＳ 明朝"/>
          <w:szCs w:val="21"/>
        </w:rPr>
      </w:pPr>
    </w:p>
    <w:p w14:paraId="18A5C494" w14:textId="42F94251" w:rsidR="00CE0396" w:rsidRPr="001043CA" w:rsidRDefault="00CE0396" w:rsidP="0062324E">
      <w:pPr>
        <w:rPr>
          <w:rFonts w:ascii="ＭＳ 明朝" w:hAnsi="ＭＳ 明朝"/>
          <w:szCs w:val="21"/>
        </w:rPr>
      </w:pPr>
      <w:r w:rsidRPr="001043CA">
        <w:rPr>
          <w:rFonts w:ascii="ＭＳ 明朝" w:hAnsi="ＭＳ 明朝" w:hint="eastAsia"/>
          <w:szCs w:val="21"/>
        </w:rPr>
        <w:t>３．米国</w:t>
      </w:r>
    </w:p>
    <w:p w14:paraId="45D537CA" w14:textId="77777777" w:rsidR="0054792B" w:rsidRPr="001043CA" w:rsidRDefault="0054792B" w:rsidP="0054792B">
      <w:pPr>
        <w:rPr>
          <w:rFonts w:ascii="ＭＳ 明朝" w:hAnsi="ＭＳ 明朝"/>
          <w:szCs w:val="21"/>
          <w:lang w:eastAsia="zh-TW"/>
        </w:rPr>
      </w:pPr>
      <w:r w:rsidRPr="001043CA">
        <w:rPr>
          <w:rFonts w:ascii="ＭＳ 明朝" w:hAnsi="ＭＳ 明朝" w:hint="eastAsia"/>
          <w:szCs w:val="21"/>
          <w:lang w:eastAsia="zh-TW"/>
        </w:rPr>
        <w:t>1）TSCA（米国有害物質規制法）</w:t>
      </w:r>
    </w:p>
    <w:p w14:paraId="1FCA2ADC" w14:textId="77777777" w:rsidR="0054792B" w:rsidRPr="001043CA" w:rsidRDefault="0054792B" w:rsidP="0054792B">
      <w:pPr>
        <w:ind w:firstLineChars="100" w:firstLine="192"/>
        <w:rPr>
          <w:rFonts w:ascii="ＭＳ 明朝" w:hAnsi="ＭＳ 明朝"/>
          <w:szCs w:val="21"/>
        </w:rPr>
      </w:pPr>
      <w:r w:rsidRPr="001043CA">
        <w:rPr>
          <w:rFonts w:ascii="ＭＳ 明朝" w:hAnsi="ＭＳ 明朝" w:hint="eastAsia"/>
          <w:szCs w:val="21"/>
        </w:rPr>
        <w:t>TSCAは1976年に発効したヒトの健康または環境にリスクを及ぼす化学物質を規制する法律です。環境保護庁（EPA）が新規化学物質の規制、既存化学物質の評価、情報の公開等を行います。化学物質を「TSCAインベントリー」と呼ばれるリストで管理しており、現在8万物質以上が収載されています。</w:t>
      </w:r>
    </w:p>
    <w:p w14:paraId="033A0F81" w14:textId="4AF46C1B" w:rsidR="00CE2C73" w:rsidRPr="001043CA" w:rsidRDefault="0054792B" w:rsidP="00B2216B">
      <w:pPr>
        <w:ind w:firstLineChars="100" w:firstLine="192"/>
        <w:rPr>
          <w:rFonts w:ascii="ＭＳ 明朝" w:hAnsi="ＭＳ 明朝"/>
          <w:szCs w:val="21"/>
        </w:rPr>
      </w:pPr>
      <w:r w:rsidRPr="001043CA">
        <w:rPr>
          <w:rFonts w:ascii="ＭＳ 明朝" w:hAnsi="ＭＳ 明朝" w:hint="eastAsia"/>
          <w:szCs w:val="21"/>
        </w:rPr>
        <w:t>TSCA は2016年に改正され、リスク評価を行う仕組みがあらたに盛り込まれました。2016年12月にリスク評価の対象として最初に選定された10の化学物質が公表されました。2019年8月、EPAはTSCAに基づき20物質をリスク評価の対象となる高優先物質として指定することを提案しましたが、その中にDBP、BBP、DCHP、DEHP、DIBPが含まれました。</w:t>
      </w:r>
      <w:r w:rsidR="004342E6" w:rsidRPr="001043CA">
        <w:rPr>
          <w:rFonts w:ascii="ＭＳ 明朝" w:hAnsi="ＭＳ 明朝" w:hint="eastAsia"/>
          <w:szCs w:val="21"/>
        </w:rPr>
        <w:t>当</w:t>
      </w:r>
      <w:r w:rsidRPr="001043CA">
        <w:rPr>
          <w:rFonts w:ascii="ＭＳ 明朝" w:hAnsi="ＭＳ 明朝" w:hint="eastAsia"/>
          <w:szCs w:val="21"/>
        </w:rPr>
        <w:t>工業会は</w:t>
      </w:r>
      <w:r w:rsidR="00414B5F" w:rsidRPr="001043CA">
        <w:rPr>
          <w:rFonts w:ascii="ＭＳ 明朝" w:hAnsi="ＭＳ 明朝" w:hint="eastAsia"/>
          <w:szCs w:val="21"/>
        </w:rPr>
        <w:t>、</w:t>
      </w:r>
      <w:r w:rsidRPr="001043CA">
        <w:rPr>
          <w:rFonts w:ascii="ＭＳ 明朝" w:hAnsi="ＭＳ 明朝" w:hint="eastAsia"/>
          <w:szCs w:val="21"/>
        </w:rPr>
        <w:t>これらフタル酸エステルは安全であるといった科学的根拠を意見書として提出しました。2019年12月に、DBP、BBP、DEHP、DIBP、DCHPがTSCAの高優先候補化学物質と決定されました。企業から依頼のあったDINP、DIDPと共に、今後、最短3年間にわたるリスク評価手続きを踏んだ後、これら物質が現在の使用条件下で人の健康や環境に悪影響をもたらすか否かが判断されます。場合によっては、法的に使用制限が課せられることになります。2023年5月、EPA は、パブリックコメントと EPA 科学諮問委員会（SACC） による相互審査のために、リスク評価中のフタル酸エステル類に関する累積リスク評価の枠組みと手法を公表しました</w:t>
      </w:r>
      <w:r w:rsidR="00A87D61" w:rsidRPr="001043CA">
        <w:rPr>
          <w:rFonts w:ascii="ＭＳ 明朝" w:hAnsi="ＭＳ 明朝" w:hint="eastAsia"/>
          <w:szCs w:val="21"/>
          <w:vertAlign w:val="superscript"/>
        </w:rPr>
        <w:t>7</w:t>
      </w:r>
      <w:r w:rsidR="007D28ED" w:rsidRPr="001043CA">
        <w:rPr>
          <w:rFonts w:ascii="ＭＳ 明朝" w:hAnsi="ＭＳ 明朝" w:hint="eastAsia"/>
          <w:szCs w:val="21"/>
          <w:vertAlign w:val="superscript"/>
        </w:rPr>
        <w:t>）</w:t>
      </w:r>
      <w:r w:rsidRPr="001043CA">
        <w:rPr>
          <w:rFonts w:ascii="ＭＳ 明朝" w:hAnsi="ＭＳ 明朝" w:hint="eastAsia"/>
          <w:szCs w:val="21"/>
        </w:rPr>
        <w:t>。</w:t>
      </w:r>
      <w:r w:rsidR="00B9788D" w:rsidRPr="001043CA">
        <w:rPr>
          <w:rFonts w:ascii="ＭＳ 明朝" w:hAnsi="ＭＳ 明朝" w:hint="eastAsia"/>
          <w:szCs w:val="21"/>
        </w:rPr>
        <w:t>2024年8月、DINPのリスク評価書（案）</w:t>
      </w:r>
      <w:r w:rsidR="004F5A95" w:rsidRPr="001043CA">
        <w:rPr>
          <w:rFonts w:ascii="ＭＳ 明朝" w:hAnsi="ＭＳ 明朝" w:hint="eastAsia"/>
          <w:szCs w:val="21"/>
        </w:rPr>
        <w:t>が公表され</w:t>
      </w:r>
      <w:r w:rsidR="00E275FC" w:rsidRPr="001043CA">
        <w:rPr>
          <w:rFonts w:ascii="ＭＳ 明朝" w:hAnsi="ＭＳ 明朝" w:hint="eastAsia"/>
          <w:szCs w:val="21"/>
        </w:rPr>
        <w:t>ました。</w:t>
      </w:r>
      <w:r w:rsidR="008A3196" w:rsidRPr="001043CA">
        <w:rPr>
          <w:rFonts w:ascii="ＭＳ 明朝" w:hAnsi="ＭＳ 明朝" w:hint="eastAsia"/>
          <w:szCs w:val="21"/>
        </w:rPr>
        <w:t>案では</w:t>
      </w:r>
      <w:r w:rsidR="00B454FD" w:rsidRPr="001043CA">
        <w:rPr>
          <w:rFonts w:ascii="ＭＳ 明朝" w:hAnsi="ＭＳ 明朝" w:hint="eastAsia"/>
          <w:szCs w:val="21"/>
        </w:rPr>
        <w:t>一般の人々や環境にはunreasonable riskは及ぼさないとしながら、2つのunreasonable riskを指摘しています。</w:t>
      </w:r>
    </w:p>
    <w:p w14:paraId="1EF0FB72" w14:textId="7133027F" w:rsidR="00CE0396" w:rsidRPr="001043CA" w:rsidRDefault="00D81814" w:rsidP="00B2216B">
      <w:pPr>
        <w:ind w:firstLineChars="100" w:firstLine="192"/>
        <w:rPr>
          <w:rFonts w:ascii="ＭＳ 明朝" w:hAnsi="ＭＳ 明朝"/>
          <w:szCs w:val="21"/>
        </w:rPr>
      </w:pPr>
      <w:r w:rsidRPr="001043CA">
        <w:rPr>
          <w:rFonts w:ascii="ＭＳ 明朝" w:hAnsi="ＭＳ 明朝" w:hint="eastAsia"/>
          <w:szCs w:val="21"/>
        </w:rPr>
        <w:t>DEHP、DBP、BBP、DIBP、DCHP の</w:t>
      </w:r>
      <w:r w:rsidR="0054792B" w:rsidRPr="001043CA">
        <w:rPr>
          <w:rFonts w:ascii="ＭＳ 明朝" w:hAnsi="ＭＳ 明朝" w:hint="eastAsia"/>
          <w:szCs w:val="21"/>
        </w:rPr>
        <w:t>5フタル酸エステルについては、2025米国会計年度（2024年10月～2025年9月）内に個別のリスク評価結果案と累積リスク評価結果案が公表される予定になっています。</w:t>
      </w:r>
    </w:p>
    <w:p w14:paraId="51701F23" w14:textId="77777777" w:rsidR="000C0F38" w:rsidRPr="001043CA" w:rsidRDefault="00E64EC8" w:rsidP="000C0F38">
      <w:pPr>
        <w:rPr>
          <w:rFonts w:ascii="ＭＳ 明朝" w:hAnsi="ＭＳ 明朝"/>
          <w:szCs w:val="21"/>
        </w:rPr>
      </w:pPr>
      <w:r w:rsidRPr="001043CA">
        <w:rPr>
          <w:rFonts w:ascii="ＭＳ 明朝" w:hAnsi="ＭＳ 明朝"/>
          <w:szCs w:val="21"/>
        </w:rPr>
        <w:t>2）玩具・育児用品</w:t>
      </w:r>
    </w:p>
    <w:p w14:paraId="351E47C5" w14:textId="556765D1" w:rsidR="000C0F38" w:rsidRPr="001043CA" w:rsidRDefault="00E64EC8" w:rsidP="000C0F38">
      <w:pPr>
        <w:ind w:firstLineChars="100" w:firstLine="192"/>
        <w:rPr>
          <w:rFonts w:ascii="ＭＳ 明朝" w:hAnsi="ＭＳ 明朝"/>
          <w:szCs w:val="21"/>
        </w:rPr>
      </w:pPr>
      <w:r w:rsidRPr="001043CA">
        <w:rPr>
          <w:rFonts w:ascii="ＭＳ 明朝" w:hAnsi="ＭＳ 明朝"/>
          <w:szCs w:val="21"/>
        </w:rPr>
        <w:t xml:space="preserve">米国ではCPSIA（Consumer Product Safety </w:t>
      </w:r>
      <w:r w:rsidRPr="001043CA">
        <w:rPr>
          <w:rFonts w:ascii="ＭＳ 明朝" w:hAnsi="ＭＳ 明朝"/>
          <w:szCs w:val="21"/>
        </w:rPr>
        <w:t>Improvement Act：消費者製品安全性改善法）により、フタル酸エステルが規制されています。</w:t>
      </w:r>
    </w:p>
    <w:p w14:paraId="3912A16E" w14:textId="77777777" w:rsidR="000C0F38" w:rsidRPr="001043CA" w:rsidRDefault="00E64EC8" w:rsidP="000C0F38">
      <w:pPr>
        <w:ind w:firstLineChars="100" w:firstLine="192"/>
        <w:rPr>
          <w:rFonts w:ascii="ＭＳ 明朝" w:hAnsi="ＭＳ 明朝"/>
          <w:szCs w:val="21"/>
        </w:rPr>
      </w:pPr>
      <w:r w:rsidRPr="001043CA">
        <w:rPr>
          <w:rFonts w:ascii="ＭＳ 明朝" w:hAnsi="ＭＳ 明朝"/>
          <w:szCs w:val="21"/>
        </w:rPr>
        <w:t>CPSC（米国消費者製品安全委員会）は、12歳以下を対象とした玩具及び3歳以下を対象とした育児用品の8 種フタレート（ DEHP、DBP、BBP、DIBP、DINP、DPENP、DHEXP、DCHP）を使用制限（閾値0.1wt%）する規則を制定しました。DINPは当初、3歳以下の育児用品のみが対象でしたが、2014年にDEHPと同レベルの12歳以下を対象とした玩具も暫定的な制限対象となり、2018年に恒久的な制限対象に変わりました。また、同年には、DIDP及びDNOPは制限が撤廃となりました。</w:t>
      </w:r>
    </w:p>
    <w:p w14:paraId="7A2CA8D7" w14:textId="0435B1CD" w:rsidR="000C0F38" w:rsidRPr="001043CA" w:rsidRDefault="00E64EC8" w:rsidP="000C0F38">
      <w:pPr>
        <w:ind w:firstLineChars="100" w:firstLine="192"/>
        <w:rPr>
          <w:rFonts w:ascii="ＭＳ 明朝" w:hAnsi="ＭＳ 明朝"/>
          <w:szCs w:val="21"/>
        </w:rPr>
      </w:pPr>
      <w:r w:rsidRPr="001043CA">
        <w:rPr>
          <w:rFonts w:ascii="ＭＳ 明朝" w:hAnsi="ＭＳ 明朝"/>
          <w:szCs w:val="21"/>
        </w:rPr>
        <w:t xml:space="preserve">2017年12月にテキサス製造業協会（The Texas Association of </w:t>
      </w:r>
      <w:proofErr w:type="spellStart"/>
      <w:r w:rsidRPr="001043CA">
        <w:rPr>
          <w:rFonts w:ascii="ＭＳ 明朝" w:hAnsi="ＭＳ 明朝"/>
          <w:szCs w:val="21"/>
        </w:rPr>
        <w:t>Manufac-turers</w:t>
      </w:r>
      <w:proofErr w:type="spellEnd"/>
      <w:r w:rsidRPr="001043CA">
        <w:rPr>
          <w:rFonts w:ascii="ＭＳ 明朝" w:hAnsi="ＭＳ 明朝"/>
          <w:szCs w:val="21"/>
        </w:rPr>
        <w:t>）などはCPSCのフタル酸エステル最終規則を見直すよう裁判所に申し立てを行いました。2021年3月に裁判所は、2つの手続き上の問題を指摘し、最終規則を再検討するようCPSCに差し戻しました。2022年11月にCPSCは、CPSC のフタル酸エステル類の最終規則に関し、裁判所が指摘した2つの手続き上の不備を委員会が解決したことを発表し、連邦官報通知公表の提案通り採択されました</w:t>
      </w:r>
      <w:r w:rsidR="00A87D61" w:rsidRPr="001043CA">
        <w:rPr>
          <w:rFonts w:ascii="ＭＳ 明朝" w:hAnsi="ＭＳ 明朝" w:hint="eastAsia"/>
          <w:szCs w:val="21"/>
          <w:vertAlign w:val="superscript"/>
        </w:rPr>
        <w:t>8</w:t>
      </w:r>
      <w:r w:rsidR="001B707A" w:rsidRPr="001043CA">
        <w:rPr>
          <w:rFonts w:ascii="ＭＳ 明朝" w:hAnsi="ＭＳ 明朝" w:hint="eastAsia"/>
          <w:szCs w:val="21"/>
          <w:vertAlign w:val="superscript"/>
        </w:rPr>
        <w:t>）</w:t>
      </w:r>
      <w:r w:rsidRPr="001043CA">
        <w:rPr>
          <w:rFonts w:ascii="ＭＳ 明朝" w:hAnsi="ＭＳ 明朝"/>
          <w:szCs w:val="21"/>
        </w:rPr>
        <w:t>。</w:t>
      </w:r>
    </w:p>
    <w:p w14:paraId="7A912743" w14:textId="0B5219E5" w:rsidR="00CE0396" w:rsidRPr="001043CA" w:rsidRDefault="00E64EC8" w:rsidP="00D2223F">
      <w:pPr>
        <w:ind w:firstLineChars="100" w:firstLine="192"/>
        <w:rPr>
          <w:rFonts w:ascii="ＭＳ 明朝" w:hAnsi="ＭＳ 明朝"/>
          <w:szCs w:val="21"/>
        </w:rPr>
      </w:pPr>
      <w:r w:rsidRPr="001043CA">
        <w:rPr>
          <w:rFonts w:ascii="ＭＳ 明朝" w:hAnsi="ＭＳ 明朝"/>
          <w:szCs w:val="21"/>
        </w:rPr>
        <w:t>これに対して米国化学評議会 (ACC)高フタル酸エステル類委員会(HPP)は、玩具における DINP の制限に関する最終決議を発行するためのCPSCの採択について、「「CPSC は高フタル酸エステル DINP に関する科学を無視し続けている」おもちゃや育児用品のDINP制限を維持し続ける科学的根拠はない」 との声明を発表しています</w:t>
      </w:r>
      <w:r w:rsidR="00A87D61" w:rsidRPr="001043CA">
        <w:rPr>
          <w:rFonts w:ascii="ＭＳ 明朝" w:hAnsi="ＭＳ 明朝" w:hint="eastAsia"/>
          <w:szCs w:val="21"/>
          <w:vertAlign w:val="superscript"/>
        </w:rPr>
        <w:t>9</w:t>
      </w:r>
      <w:r w:rsidR="00D2223F" w:rsidRPr="001043CA">
        <w:rPr>
          <w:rFonts w:ascii="ＭＳ 明朝" w:hAnsi="ＭＳ 明朝" w:hint="eastAsia"/>
          <w:szCs w:val="21"/>
          <w:vertAlign w:val="superscript"/>
        </w:rPr>
        <w:t>）</w:t>
      </w:r>
      <w:r w:rsidRPr="001043CA">
        <w:rPr>
          <w:rFonts w:ascii="ＭＳ 明朝" w:hAnsi="ＭＳ 明朝"/>
          <w:szCs w:val="21"/>
        </w:rPr>
        <w:t>。</w:t>
      </w:r>
    </w:p>
    <w:p w14:paraId="2416CF8A" w14:textId="77777777" w:rsidR="00EC09D8" w:rsidRPr="001043CA" w:rsidRDefault="00EC09D8" w:rsidP="0062324E">
      <w:pPr>
        <w:rPr>
          <w:rFonts w:ascii="ＭＳ 明朝" w:hAnsi="ＭＳ 明朝"/>
          <w:szCs w:val="21"/>
        </w:rPr>
      </w:pPr>
      <w:r w:rsidRPr="001043CA">
        <w:rPr>
          <w:rFonts w:ascii="ＭＳ 明朝" w:hAnsi="ＭＳ 明朝"/>
          <w:szCs w:val="21"/>
        </w:rPr>
        <w:t>3）食品接触材料</w:t>
      </w:r>
    </w:p>
    <w:p w14:paraId="052C7E90" w14:textId="77777777" w:rsidR="00EC09D8" w:rsidRPr="001043CA" w:rsidRDefault="00EC09D8" w:rsidP="00EC09D8">
      <w:pPr>
        <w:ind w:firstLineChars="100" w:firstLine="192"/>
        <w:rPr>
          <w:rFonts w:ascii="ＭＳ 明朝" w:hAnsi="ＭＳ 明朝"/>
          <w:szCs w:val="21"/>
        </w:rPr>
      </w:pPr>
      <w:r w:rsidRPr="001043CA">
        <w:rPr>
          <w:rFonts w:ascii="ＭＳ 明朝" w:hAnsi="ＭＳ 明朝"/>
          <w:szCs w:val="21"/>
        </w:rPr>
        <w:t>一部のフタル酸エステルは、食品包装や、接着剤、潤滑剤、シーリング剤の成分など、食品と接触する用途に使用されることがあります。</w:t>
      </w:r>
    </w:p>
    <w:p w14:paraId="0FB5B1CF" w14:textId="77777777" w:rsidR="00B1573E" w:rsidRPr="001043CA" w:rsidRDefault="00EC09D8" w:rsidP="00B1573E">
      <w:pPr>
        <w:ind w:firstLineChars="100" w:firstLine="192"/>
        <w:rPr>
          <w:rFonts w:ascii="ＭＳ 明朝" w:hAnsi="ＭＳ 明朝"/>
          <w:szCs w:val="21"/>
        </w:rPr>
      </w:pPr>
      <w:r w:rsidRPr="001043CA">
        <w:rPr>
          <w:rFonts w:ascii="ＭＳ 明朝" w:hAnsi="ＭＳ 明朝"/>
          <w:szCs w:val="21"/>
        </w:rPr>
        <w:t>米国食品医薬品局（FDA）は、食品接触材料としてポジティブリストに収載されているフタレートに関し、環境保護団体による食品接触用フタレート28種の消除請願について、同用途に安全でないことが立証されていないことを根拠に却下しました。一方、食品接触用フタレート25種について使用実態がないことを根拠にリストより消除し、食品接触用フタレート8種（DEHP、DINP、DIDP及び DCHPなど）について使用実態情報提供の呼びかけを公表しました。</w:t>
      </w:r>
    </w:p>
    <w:p w14:paraId="42AAA01D" w14:textId="50334B09" w:rsidR="00B1573E" w:rsidRPr="001043CA" w:rsidRDefault="00EC09D8" w:rsidP="00B1573E">
      <w:pPr>
        <w:ind w:firstLineChars="100" w:firstLine="192"/>
        <w:rPr>
          <w:rFonts w:ascii="ＭＳ 明朝" w:hAnsi="ＭＳ 明朝"/>
          <w:szCs w:val="21"/>
        </w:rPr>
      </w:pPr>
      <w:r w:rsidRPr="001043CA">
        <w:rPr>
          <w:rFonts w:ascii="ＭＳ 明朝" w:hAnsi="ＭＳ 明朝"/>
          <w:szCs w:val="21"/>
        </w:rPr>
        <w:t>FDAは現在、提出された23,900件以上のコメントを精査しており、この情報をもとに、フタル酸エステル類の食品接触用途として許可されている食品への暴露量推定値および安全性評価を更新する可能性について検討を進めています</w:t>
      </w:r>
      <w:r w:rsidR="00B1573E" w:rsidRPr="001043CA">
        <w:rPr>
          <w:rFonts w:ascii="ＭＳ 明朝" w:hAnsi="ＭＳ 明朝" w:hint="eastAsia"/>
          <w:szCs w:val="21"/>
          <w:vertAlign w:val="superscript"/>
        </w:rPr>
        <w:t>1</w:t>
      </w:r>
      <w:r w:rsidR="00A87D61" w:rsidRPr="001043CA">
        <w:rPr>
          <w:rFonts w:ascii="ＭＳ 明朝" w:hAnsi="ＭＳ 明朝" w:hint="eastAsia"/>
          <w:szCs w:val="21"/>
          <w:vertAlign w:val="superscript"/>
        </w:rPr>
        <w:t>0</w:t>
      </w:r>
      <w:r w:rsidR="00B1573E" w:rsidRPr="001043CA">
        <w:rPr>
          <w:rFonts w:ascii="ＭＳ 明朝" w:hAnsi="ＭＳ 明朝" w:hint="eastAsia"/>
          <w:szCs w:val="21"/>
          <w:vertAlign w:val="superscript"/>
        </w:rPr>
        <w:t>）</w:t>
      </w:r>
      <w:r w:rsidRPr="001043CA">
        <w:rPr>
          <w:rFonts w:ascii="ＭＳ 明朝" w:hAnsi="ＭＳ 明朝"/>
          <w:szCs w:val="21"/>
        </w:rPr>
        <w:t>。</w:t>
      </w:r>
    </w:p>
    <w:p w14:paraId="53656AA6" w14:textId="77777777" w:rsidR="00B1573E" w:rsidRPr="001043CA" w:rsidRDefault="00B1573E" w:rsidP="00B1573E">
      <w:pPr>
        <w:ind w:firstLineChars="100" w:firstLine="192"/>
        <w:rPr>
          <w:rFonts w:ascii="ＭＳ 明朝" w:hAnsi="ＭＳ 明朝"/>
          <w:szCs w:val="21"/>
        </w:rPr>
      </w:pPr>
    </w:p>
    <w:p w14:paraId="75932768" w14:textId="70FC087E" w:rsidR="002127B5" w:rsidRPr="001043CA" w:rsidRDefault="00CE0396" w:rsidP="0062324E">
      <w:pPr>
        <w:rPr>
          <w:rFonts w:ascii="ＭＳ 明朝" w:hAnsi="ＭＳ 明朝"/>
          <w:szCs w:val="21"/>
        </w:rPr>
      </w:pPr>
      <w:r w:rsidRPr="001043CA">
        <w:rPr>
          <w:rFonts w:ascii="ＭＳ 明朝" w:hAnsi="ＭＳ 明朝" w:hint="eastAsia"/>
          <w:szCs w:val="21"/>
        </w:rPr>
        <w:lastRenderedPageBreak/>
        <w:t>４．欧州</w:t>
      </w:r>
    </w:p>
    <w:p w14:paraId="3B48418A" w14:textId="265A1F52" w:rsidR="00A958E0" w:rsidRPr="001043CA" w:rsidRDefault="00A958E0" w:rsidP="00A958E0">
      <w:pPr>
        <w:rPr>
          <w:rFonts w:ascii="ＭＳ 明朝" w:hAnsi="ＭＳ 明朝"/>
          <w:szCs w:val="21"/>
        </w:rPr>
      </w:pPr>
      <w:r w:rsidRPr="001043CA">
        <w:rPr>
          <w:rFonts w:ascii="ＭＳ 明朝" w:hAnsi="ＭＳ 明朝" w:hint="eastAsia"/>
          <w:szCs w:val="21"/>
        </w:rPr>
        <w:t>1）CLP（</w:t>
      </w:r>
      <w:r w:rsidR="0074404F" w:rsidRPr="001043CA">
        <w:rPr>
          <w:rFonts w:ascii="ＭＳ 明朝" w:hAnsi="ＭＳ 明朝" w:hint="eastAsia"/>
          <w:szCs w:val="21"/>
        </w:rPr>
        <w:t>EUにおける危険有害化学品の新たな分類、表示、包装に関する規則</w:t>
      </w:r>
      <w:r w:rsidRPr="001043CA">
        <w:rPr>
          <w:rFonts w:ascii="ＭＳ 明朝" w:hAnsi="ＭＳ 明朝" w:hint="eastAsia"/>
          <w:szCs w:val="21"/>
        </w:rPr>
        <w:t>）</w:t>
      </w:r>
    </w:p>
    <w:p w14:paraId="2C616212" w14:textId="130CFF8B" w:rsidR="00021C84" w:rsidRPr="001043CA" w:rsidRDefault="00021C84" w:rsidP="00A958E0">
      <w:pPr>
        <w:ind w:firstLineChars="100" w:firstLine="192"/>
        <w:rPr>
          <w:rFonts w:ascii="ＭＳ 明朝" w:hAnsi="ＭＳ 明朝"/>
          <w:szCs w:val="21"/>
        </w:rPr>
      </w:pPr>
      <w:r w:rsidRPr="001043CA">
        <w:rPr>
          <w:rFonts w:ascii="ＭＳ 明朝" w:hAnsi="ＭＳ 明朝" w:hint="eastAsia"/>
          <w:szCs w:val="21"/>
        </w:rPr>
        <w:t>CLP</w:t>
      </w:r>
      <w:r w:rsidR="00BA509A" w:rsidRPr="001043CA">
        <w:rPr>
          <w:rFonts w:ascii="ＭＳ 明朝" w:hAnsi="ＭＳ 明朝" w:hint="eastAsia"/>
          <w:szCs w:val="21"/>
        </w:rPr>
        <w:t>は</w:t>
      </w:r>
      <w:r w:rsidRPr="001043CA">
        <w:rPr>
          <w:rFonts w:ascii="ＭＳ 明朝" w:hAnsi="ＭＳ 明朝" w:hint="eastAsia"/>
          <w:szCs w:val="21"/>
        </w:rPr>
        <w:t>、欧州版GHS（</w:t>
      </w:r>
      <w:r w:rsidR="005A5330" w:rsidRPr="001043CA">
        <w:rPr>
          <w:rFonts w:ascii="ＭＳ 明朝" w:hAnsi="ＭＳ 明朝" w:hint="eastAsia"/>
          <w:szCs w:val="21"/>
        </w:rPr>
        <w:t>化学品の分類および表示に関する世界調和システム</w:t>
      </w:r>
      <w:r w:rsidR="001D3960" w:rsidRPr="001043CA">
        <w:rPr>
          <w:rFonts w:ascii="ＭＳ 明朝" w:hAnsi="ＭＳ 明朝" w:hint="eastAsia"/>
          <w:szCs w:val="21"/>
        </w:rPr>
        <w:t>）</w:t>
      </w:r>
      <w:r w:rsidRPr="001043CA">
        <w:rPr>
          <w:rFonts w:ascii="ＭＳ 明朝" w:hAnsi="ＭＳ 明朝" w:hint="eastAsia"/>
          <w:szCs w:val="21"/>
        </w:rPr>
        <w:t>です。化学物質やその混合物をハザードに従って分類し、その区分に応じてラベルを製品に張り付けることが義務付けされています。例えば、</w:t>
      </w:r>
      <w:r w:rsidRPr="001043CA">
        <w:rPr>
          <w:rFonts w:ascii="ＭＳ 明朝" w:hAnsi="ＭＳ 明朝"/>
          <w:szCs w:val="21"/>
        </w:rPr>
        <w:t>DEHP</w:t>
      </w:r>
      <w:r w:rsidRPr="001043CA">
        <w:rPr>
          <w:rFonts w:ascii="ＭＳ 明朝" w:hAnsi="ＭＳ 明朝" w:hint="eastAsia"/>
          <w:szCs w:val="21"/>
        </w:rPr>
        <w:t>は生殖毒性のカテゴリーで区分</w:t>
      </w:r>
      <w:r w:rsidRPr="001043CA">
        <w:rPr>
          <w:rFonts w:ascii="ＭＳ 明朝" w:hAnsi="ＭＳ 明朝"/>
          <w:szCs w:val="21"/>
        </w:rPr>
        <w:t>1B</w:t>
      </w:r>
      <w:r w:rsidR="00B0101E" w:rsidRPr="001043CA">
        <w:rPr>
          <w:rFonts w:ascii="ＭＳ 明朝" w:hAnsi="ＭＳ 明朝" w:hint="eastAsia"/>
          <w:szCs w:val="21"/>
        </w:rPr>
        <w:t>（ヒトに対して生殖毒性があると考えられる物質）</w:t>
      </w:r>
      <w:r w:rsidRPr="001043CA">
        <w:rPr>
          <w:rFonts w:ascii="ＭＳ 明朝" w:hAnsi="ＭＳ 明朝" w:hint="eastAsia"/>
          <w:szCs w:val="21"/>
        </w:rPr>
        <w:t>に分類されています。最近ハザードに新たなカテゴリーである内分泌かく乱性が組み込まれ（</w:t>
      </w:r>
      <w:r w:rsidRPr="001043CA">
        <w:rPr>
          <w:rFonts w:ascii="ＭＳ 明朝" w:hAnsi="ＭＳ 明朝"/>
          <w:szCs w:val="21"/>
        </w:rPr>
        <w:t>2023</w:t>
      </w:r>
      <w:r w:rsidRPr="001043CA">
        <w:rPr>
          <w:rFonts w:ascii="ＭＳ 明朝" w:hAnsi="ＭＳ 明朝" w:hint="eastAsia"/>
          <w:szCs w:val="21"/>
        </w:rPr>
        <w:t>年</w:t>
      </w:r>
      <w:r w:rsidR="001D3960" w:rsidRPr="001043CA">
        <w:rPr>
          <w:rFonts w:ascii="ＭＳ 明朝" w:hAnsi="ＭＳ 明朝" w:hint="eastAsia"/>
          <w:szCs w:val="21"/>
        </w:rPr>
        <w:t>4月</w:t>
      </w:r>
      <w:r w:rsidRPr="001043CA">
        <w:rPr>
          <w:rFonts w:ascii="ＭＳ 明朝" w:hAnsi="ＭＳ 明朝" w:hint="eastAsia"/>
          <w:szCs w:val="21"/>
        </w:rPr>
        <w:t>、</w:t>
      </w:r>
      <w:r w:rsidRPr="001043CA">
        <w:rPr>
          <w:rFonts w:ascii="ＭＳ 明朝" w:hAnsi="ＭＳ 明朝"/>
          <w:szCs w:val="21"/>
        </w:rPr>
        <w:t>DEHP</w:t>
      </w:r>
      <w:r w:rsidRPr="001043CA">
        <w:rPr>
          <w:rFonts w:ascii="ＭＳ 明朝" w:hAnsi="ＭＳ 明朝" w:hint="eastAsia"/>
          <w:szCs w:val="21"/>
        </w:rPr>
        <w:t>、</w:t>
      </w:r>
      <w:r w:rsidRPr="001043CA">
        <w:rPr>
          <w:rFonts w:ascii="ＭＳ 明朝" w:hAnsi="ＭＳ 明朝"/>
          <w:szCs w:val="21"/>
        </w:rPr>
        <w:t>DBP</w:t>
      </w:r>
      <w:r w:rsidRPr="001043CA">
        <w:rPr>
          <w:rFonts w:ascii="ＭＳ 明朝" w:hAnsi="ＭＳ 明朝" w:hint="eastAsia"/>
          <w:szCs w:val="21"/>
        </w:rPr>
        <w:t>、</w:t>
      </w:r>
      <w:r w:rsidRPr="001043CA">
        <w:rPr>
          <w:rFonts w:ascii="ＭＳ 明朝" w:hAnsi="ＭＳ 明朝"/>
          <w:szCs w:val="21"/>
        </w:rPr>
        <w:t>BBP</w:t>
      </w:r>
      <w:r w:rsidRPr="001043CA">
        <w:rPr>
          <w:rFonts w:ascii="ＭＳ 明朝" w:hAnsi="ＭＳ 明朝" w:hint="eastAsia"/>
          <w:szCs w:val="21"/>
        </w:rPr>
        <w:t>、</w:t>
      </w:r>
      <w:r w:rsidRPr="001043CA">
        <w:rPr>
          <w:rFonts w:ascii="ＭＳ 明朝" w:hAnsi="ＭＳ 明朝"/>
          <w:szCs w:val="21"/>
        </w:rPr>
        <w:t>DIBP</w:t>
      </w:r>
      <w:r w:rsidRPr="001043CA">
        <w:rPr>
          <w:rFonts w:ascii="ＭＳ 明朝" w:hAnsi="ＭＳ 明朝" w:hint="eastAsia"/>
          <w:szCs w:val="21"/>
        </w:rPr>
        <w:t>がこの範疇に入りました。</w:t>
      </w:r>
    </w:p>
    <w:p w14:paraId="1A3498E7" w14:textId="5E73B777" w:rsidR="00CE0396" w:rsidRPr="001043CA" w:rsidRDefault="00643114" w:rsidP="0062324E">
      <w:pPr>
        <w:rPr>
          <w:rFonts w:ascii="ＭＳ 明朝" w:hAnsi="ＭＳ 明朝"/>
          <w:szCs w:val="21"/>
        </w:rPr>
      </w:pPr>
      <w:r w:rsidRPr="001043CA">
        <w:rPr>
          <w:rFonts w:ascii="ＭＳ 明朝" w:hAnsi="ＭＳ 明朝" w:hint="eastAsia"/>
          <w:szCs w:val="21"/>
        </w:rPr>
        <w:t xml:space="preserve">　当工業会では1994年頃から今日まで、可塑剤の安全性について科学的論拠に基づいて議論をしてきました。特に当時巻き起こったフタル酸シンドロームがマスコミ等でも話題になったことがその背景にあります。フタル酸シンドロームとはDBPやDEHPが雄の生殖毒性を引き起こすというものでした。当工業会では主にDEHPの生殖毒性を種差に基づいて今日まで否定してきました。</w:t>
      </w:r>
    </w:p>
    <w:p w14:paraId="4F575F96" w14:textId="5EAF5AA6" w:rsidR="00A551AC" w:rsidRPr="001043CA" w:rsidRDefault="00A551AC" w:rsidP="0062324E">
      <w:pPr>
        <w:rPr>
          <w:rFonts w:ascii="ＭＳ 明朝" w:hAnsi="ＭＳ 明朝"/>
          <w:szCs w:val="21"/>
        </w:rPr>
      </w:pPr>
      <w:r w:rsidRPr="001043CA">
        <w:rPr>
          <w:rFonts w:ascii="ＭＳ 明朝" w:hAnsi="ＭＳ 明朝" w:hint="eastAsia"/>
          <w:szCs w:val="21"/>
        </w:rPr>
        <w:t>2）</w:t>
      </w:r>
      <w:r w:rsidR="006A44D3" w:rsidRPr="001043CA">
        <w:rPr>
          <w:rFonts w:ascii="ＭＳ 明朝" w:hAnsi="ＭＳ 明朝" w:hint="eastAsia"/>
          <w:szCs w:val="21"/>
        </w:rPr>
        <w:t>REACH</w:t>
      </w:r>
      <w:r w:rsidR="00114C03" w:rsidRPr="001043CA">
        <w:rPr>
          <w:rFonts w:ascii="ＭＳ 明朝" w:hAnsi="ＭＳ 明朝" w:hint="eastAsia"/>
          <w:szCs w:val="21"/>
        </w:rPr>
        <w:t>（化学物質の登録、評価、認可及び制限に関する規則）</w:t>
      </w:r>
    </w:p>
    <w:p w14:paraId="3CA175EE" w14:textId="44BD11C2" w:rsidR="006A44D3" w:rsidRPr="001043CA" w:rsidRDefault="006A44D3" w:rsidP="006A44D3">
      <w:pPr>
        <w:rPr>
          <w:rFonts w:ascii="ＭＳ 明朝" w:hAnsi="ＭＳ 明朝"/>
          <w:szCs w:val="21"/>
        </w:rPr>
      </w:pPr>
      <w:r w:rsidRPr="001043CA">
        <w:rPr>
          <w:rFonts w:ascii="ＭＳ 明朝" w:hAnsi="ＭＳ 明朝" w:hint="eastAsia"/>
          <w:szCs w:val="21"/>
        </w:rPr>
        <w:t>REACHは、EU加盟国すべてに効力があります。REACHは日本の化審法に相当します。製造業等の事業者が使用している、或いは使用を予定している化学物質を使用量、用途、安全性等を記載して登録します。それに続いて、各々の化学物質のハザードに応じてSVHC（高懸念物質）、認可対象物質（認可申請をし、認可が認められなければ、申請後2年で工業製品の製造に使用できなくなります。認められれば、ある一定期間製造使用が認められ、その一定期間を経過すると、再度認可申請すること</w:t>
      </w:r>
      <w:r w:rsidR="0038000A" w:rsidRPr="001043CA">
        <w:rPr>
          <w:rFonts w:ascii="ＭＳ 明朝" w:hAnsi="ＭＳ 明朝" w:hint="eastAsia"/>
          <w:szCs w:val="21"/>
        </w:rPr>
        <w:t>に</w:t>
      </w:r>
      <w:r w:rsidRPr="001043CA">
        <w:rPr>
          <w:rFonts w:ascii="ＭＳ 明朝" w:hAnsi="ＭＳ 明朝" w:hint="eastAsia"/>
          <w:szCs w:val="21"/>
        </w:rPr>
        <w:t>なります。これらを繰り返して行き、最後にはその化学物質の製造使用がなくなる言うシナリオです。）、また、リスク評価を実施してリスクがあれば制限物質（ある閾値を超えての使用は禁止）として指定されます。REACHはDirectorate-General for Internal Market, Industry, Entrepreneurship and SMEs（small and medium sized enterprises）が起案した規制で、代替による欧州の成長を目指しています。</w:t>
      </w:r>
    </w:p>
    <w:p w14:paraId="46EC5E5D" w14:textId="77F238CD" w:rsidR="006A44D3" w:rsidRPr="001043CA" w:rsidRDefault="006A44D3" w:rsidP="00AA22B3">
      <w:pPr>
        <w:ind w:firstLineChars="100" w:firstLine="192"/>
        <w:rPr>
          <w:rFonts w:ascii="ＭＳ 明朝" w:hAnsi="ＭＳ 明朝"/>
          <w:szCs w:val="21"/>
        </w:rPr>
      </w:pPr>
      <w:r w:rsidRPr="001043CA">
        <w:rPr>
          <w:rFonts w:ascii="ＭＳ 明朝" w:hAnsi="ＭＳ 明朝" w:hint="eastAsia"/>
          <w:szCs w:val="21"/>
        </w:rPr>
        <w:t>REACHに登録されているフタル酸エステルは2023年時点で32種類で、その内13物質（DEHP、DBP、BBP、DIBPを含む）が認可対象物質に、7物質（DEHP、DBP、BBP、DIBP、DINP、DIDP、DNOP）が制限物質に指定されています。一方で、現在進行中のREACHの改定とも連動して化学物質の管理を簡素化するために化学物質のグループ化</w:t>
      </w:r>
      <w:r w:rsidR="00F61447" w:rsidRPr="001043CA">
        <w:rPr>
          <w:rFonts w:ascii="ＭＳ 明朝" w:hAnsi="ＭＳ 明朝" w:hint="eastAsia"/>
          <w:szCs w:val="21"/>
        </w:rPr>
        <w:t>（</w:t>
      </w:r>
      <w:r w:rsidRPr="001043CA">
        <w:rPr>
          <w:rFonts w:ascii="ＭＳ 明朝" w:hAnsi="ＭＳ 明朝" w:hint="eastAsia"/>
          <w:szCs w:val="21"/>
        </w:rPr>
        <w:t>化学構造や性質が似通っている化学物質をグループ化し、グループごとにリスク評価や管理をして行く準備</w:t>
      </w:r>
      <w:r w:rsidR="00F61447" w:rsidRPr="001043CA">
        <w:rPr>
          <w:rFonts w:ascii="ＭＳ 明朝" w:hAnsi="ＭＳ 明朝" w:hint="eastAsia"/>
          <w:szCs w:val="21"/>
        </w:rPr>
        <w:t>）</w:t>
      </w:r>
      <w:r w:rsidR="00B6459B" w:rsidRPr="001043CA">
        <w:rPr>
          <w:rFonts w:ascii="ＭＳ 明朝" w:hAnsi="ＭＳ 明朝" w:hint="eastAsia"/>
          <w:szCs w:val="21"/>
        </w:rPr>
        <w:t>が進んでいます。</w:t>
      </w:r>
    </w:p>
    <w:p w14:paraId="7FDAFD34" w14:textId="05DEDD58" w:rsidR="006A44D3" w:rsidRPr="001043CA" w:rsidRDefault="006A44D3" w:rsidP="004E07CD">
      <w:pPr>
        <w:ind w:firstLineChars="100" w:firstLine="192"/>
        <w:rPr>
          <w:rFonts w:ascii="ＭＳ 明朝" w:hAnsi="ＭＳ 明朝"/>
          <w:szCs w:val="21"/>
        </w:rPr>
      </w:pPr>
      <w:r w:rsidRPr="001043CA">
        <w:rPr>
          <w:rFonts w:ascii="ＭＳ 明朝" w:hAnsi="ＭＳ 明朝" w:hint="eastAsia"/>
          <w:szCs w:val="21"/>
        </w:rPr>
        <w:t>注目されていましたDEHPの認可申請（消費者製品等を対象）は申請後10年と言う長き申請活動の末に、2023年3月に取り下げと言う残念な結末を迎えました。</w:t>
      </w:r>
    </w:p>
    <w:p w14:paraId="5CB014E9" w14:textId="77777777" w:rsidR="006A44D3" w:rsidRPr="001043CA" w:rsidRDefault="006A44D3" w:rsidP="0062324E">
      <w:pPr>
        <w:rPr>
          <w:rFonts w:ascii="ＭＳ 明朝" w:hAnsi="ＭＳ 明朝"/>
          <w:szCs w:val="21"/>
        </w:rPr>
      </w:pPr>
    </w:p>
    <w:p w14:paraId="19AEC98C" w14:textId="60CDE56A" w:rsidR="00AF6D7C" w:rsidRPr="001043CA" w:rsidRDefault="00D23570" w:rsidP="00AF6D7C">
      <w:pPr>
        <w:rPr>
          <w:rFonts w:ascii="ＭＳ 明朝" w:hAnsi="ＭＳ 明朝"/>
          <w:szCs w:val="21"/>
        </w:rPr>
      </w:pPr>
      <w:r w:rsidRPr="001043CA">
        <w:rPr>
          <w:rFonts w:ascii="ＭＳ 明朝" w:hAnsi="ＭＳ 明朝" w:hint="eastAsia"/>
          <w:szCs w:val="21"/>
        </w:rPr>
        <w:t>3）</w:t>
      </w:r>
      <w:r w:rsidR="00AF6D7C" w:rsidRPr="001043CA">
        <w:rPr>
          <w:rFonts w:ascii="ＭＳ 明朝" w:hAnsi="ＭＳ 明朝" w:hint="eastAsia"/>
          <w:szCs w:val="21"/>
        </w:rPr>
        <w:t>PIM（プラスチック施行規則）</w:t>
      </w:r>
    </w:p>
    <w:p w14:paraId="6176C11F" w14:textId="7CA7BC4A" w:rsidR="00AF6D7C" w:rsidRPr="001043CA" w:rsidRDefault="00AF6D7C" w:rsidP="00AF6D7C">
      <w:pPr>
        <w:rPr>
          <w:rFonts w:ascii="ＭＳ 明朝" w:hAnsi="ＭＳ 明朝"/>
          <w:szCs w:val="21"/>
        </w:rPr>
      </w:pPr>
      <w:r w:rsidRPr="001043CA">
        <w:rPr>
          <w:rFonts w:ascii="ＭＳ 明朝" w:hAnsi="ＭＳ 明朝" w:hint="eastAsia"/>
          <w:szCs w:val="21"/>
        </w:rPr>
        <w:t>食品用器具・容器包装の安全性を規制しているPIMでは、フタル酸エステル類はこの用途で使用が認められるPL（Positive List）に収載されており、食品用器具・容器包装用途で使用可能です。規制の基準としては、溶出量を対象とするのか、添加量を対象とするのかが考えられますが、欧州のこの規制では溶出量が規制の基準となっており、水等の溶媒に所定時間、所定温度で溶出してくる化学物質の量で使用できるか否かを定めています。</w:t>
      </w:r>
    </w:p>
    <w:p w14:paraId="6D99D412" w14:textId="7BE29206" w:rsidR="00D23570" w:rsidRPr="001043CA" w:rsidRDefault="00AF6D7C" w:rsidP="00AF6D7C">
      <w:pPr>
        <w:rPr>
          <w:rFonts w:ascii="ＭＳ 明朝" w:hAnsi="ＭＳ 明朝"/>
          <w:szCs w:val="21"/>
        </w:rPr>
      </w:pPr>
      <w:r w:rsidRPr="001043CA">
        <w:rPr>
          <w:rFonts w:ascii="ＭＳ 明朝" w:hAnsi="ＭＳ 明朝" w:hint="eastAsia"/>
          <w:szCs w:val="21"/>
        </w:rPr>
        <w:t>この規則の16次改正でグループ化によりDEHP、DBP、BBP、DIBPについては累積ばく露によるリスク評価を実施することが提案され、2023年3月に提案通りの内容で発効しました。欧州食品接触材料（Food Contact Materials）規制は現在(2023年)改正中です。</w:t>
      </w:r>
    </w:p>
    <w:p w14:paraId="2A4E4FAF" w14:textId="77777777" w:rsidR="00D23570" w:rsidRPr="001043CA" w:rsidRDefault="00D23570" w:rsidP="0062324E">
      <w:pPr>
        <w:rPr>
          <w:rFonts w:ascii="ＭＳ 明朝" w:hAnsi="ＭＳ 明朝"/>
          <w:szCs w:val="21"/>
        </w:rPr>
      </w:pPr>
    </w:p>
    <w:p w14:paraId="17DE67E5" w14:textId="77777777" w:rsidR="00FC0CB5" w:rsidRPr="001043CA" w:rsidRDefault="00FC0CB5" w:rsidP="00FC0CB5">
      <w:pPr>
        <w:rPr>
          <w:rFonts w:ascii="ＭＳ 明朝" w:hAnsi="ＭＳ 明朝"/>
          <w:szCs w:val="21"/>
        </w:rPr>
      </w:pPr>
      <w:r w:rsidRPr="001043CA">
        <w:rPr>
          <w:rFonts w:ascii="ＭＳ 明朝" w:hAnsi="ＭＳ 明朝" w:hint="eastAsia"/>
          <w:szCs w:val="21"/>
        </w:rPr>
        <w:t>&lt;参考文献&gt;</w:t>
      </w:r>
    </w:p>
    <w:p w14:paraId="0A49A97D" w14:textId="77777777" w:rsidR="00F737BC" w:rsidRPr="001043CA" w:rsidRDefault="00000000" w:rsidP="00FD37D1">
      <w:pPr>
        <w:pStyle w:val="af0"/>
        <w:numPr>
          <w:ilvl w:val="0"/>
          <w:numId w:val="4"/>
        </w:numPr>
        <w:ind w:leftChars="0"/>
        <w:rPr>
          <w:rFonts w:ascii="ＭＳ 明朝" w:hAnsi="ＭＳ 明朝"/>
          <w:szCs w:val="21"/>
        </w:rPr>
      </w:pPr>
      <w:hyperlink r:id="rId9" w:tgtFrame="_blank" w:history="1">
        <w:r w:rsidR="00926D63" w:rsidRPr="001043CA">
          <w:rPr>
            <w:rStyle w:val="a8"/>
            <w:rFonts w:ascii="ＭＳ 明朝" w:hAnsi="ＭＳ 明朝"/>
            <w:color w:val="auto"/>
            <w:szCs w:val="21"/>
          </w:rPr>
          <w:t>http://www.kasozai.gr.jp/book/</w:t>
        </w:r>
      </w:hyperlink>
    </w:p>
    <w:p w14:paraId="5D4D0697" w14:textId="77777777" w:rsidR="00F737BC" w:rsidRPr="001043CA" w:rsidRDefault="00000000" w:rsidP="00FD37D1">
      <w:pPr>
        <w:pStyle w:val="af0"/>
        <w:numPr>
          <w:ilvl w:val="0"/>
          <w:numId w:val="4"/>
        </w:numPr>
        <w:ind w:leftChars="0"/>
        <w:rPr>
          <w:rFonts w:ascii="ＭＳ 明朝" w:hAnsi="ＭＳ 明朝"/>
          <w:szCs w:val="21"/>
        </w:rPr>
      </w:pPr>
      <w:hyperlink r:id="rId10" w:tgtFrame="_blank" w:history="1">
        <w:r w:rsidR="00926D63" w:rsidRPr="001043CA">
          <w:rPr>
            <w:rStyle w:val="a8"/>
            <w:rFonts w:ascii="ＭＳ 明朝" w:hAnsi="ＭＳ 明朝"/>
            <w:color w:val="auto"/>
            <w:szCs w:val="21"/>
          </w:rPr>
          <w:t>https://www.mhlw.go.jp/content/11305000/001043125.pdf</w:t>
        </w:r>
      </w:hyperlink>
    </w:p>
    <w:p w14:paraId="4C9D030F" w14:textId="582A3797" w:rsidR="00E41FD3" w:rsidRPr="001043CA" w:rsidRDefault="00000000" w:rsidP="00FD37D1">
      <w:pPr>
        <w:pStyle w:val="af0"/>
        <w:numPr>
          <w:ilvl w:val="0"/>
          <w:numId w:val="4"/>
        </w:numPr>
        <w:ind w:leftChars="0"/>
        <w:rPr>
          <w:rFonts w:ascii="ＭＳ 明朝" w:hAnsi="ＭＳ 明朝"/>
          <w:szCs w:val="21"/>
        </w:rPr>
      </w:pPr>
      <w:hyperlink r:id="rId11" w:history="1">
        <w:r w:rsidR="00FD37D1" w:rsidRPr="001043CA">
          <w:rPr>
            <w:rStyle w:val="a8"/>
            <w:rFonts w:ascii="ＭＳ 明朝" w:hAnsi="ＭＳ 明朝"/>
            <w:color w:val="auto"/>
            <w:szCs w:val="21"/>
          </w:rPr>
          <w:t>http://www.kasozai.gr.jp/sds/</w:t>
        </w:r>
      </w:hyperlink>
    </w:p>
    <w:p w14:paraId="4671F12B" w14:textId="7EF45302" w:rsidR="00F737BC" w:rsidRPr="001043CA" w:rsidRDefault="00000000" w:rsidP="00FD37D1">
      <w:pPr>
        <w:pStyle w:val="af0"/>
        <w:numPr>
          <w:ilvl w:val="0"/>
          <w:numId w:val="4"/>
        </w:numPr>
        <w:ind w:leftChars="0"/>
        <w:rPr>
          <w:rFonts w:ascii="ＭＳ 明朝" w:hAnsi="ＭＳ 明朝"/>
          <w:szCs w:val="21"/>
        </w:rPr>
      </w:pPr>
      <w:hyperlink r:id="rId12" w:tgtFrame="_blank" w:history="1">
        <w:r w:rsidR="00F737BC" w:rsidRPr="001043CA">
          <w:rPr>
            <w:rStyle w:val="a8"/>
            <w:rFonts w:ascii="ＭＳ 明朝" w:hAnsi="ＭＳ 明朝"/>
            <w:color w:val="auto"/>
            <w:szCs w:val="21"/>
          </w:rPr>
          <w:t>https://www.mhlw.go.jp/stf/newpage_05148.html</w:t>
        </w:r>
      </w:hyperlink>
    </w:p>
    <w:p w14:paraId="3D5563A0" w14:textId="10AD69F4" w:rsidR="00F737BC" w:rsidRPr="001043CA" w:rsidRDefault="00000000" w:rsidP="00E46FA9">
      <w:pPr>
        <w:pStyle w:val="af0"/>
        <w:numPr>
          <w:ilvl w:val="0"/>
          <w:numId w:val="4"/>
        </w:numPr>
        <w:ind w:leftChars="0"/>
        <w:rPr>
          <w:rFonts w:ascii="ＭＳ 明朝" w:hAnsi="ＭＳ 明朝"/>
          <w:szCs w:val="21"/>
        </w:rPr>
      </w:pPr>
      <w:hyperlink r:id="rId13" w:history="1">
        <w:r w:rsidR="00A87D61" w:rsidRPr="001043CA">
          <w:rPr>
            <w:rStyle w:val="a8"/>
            <w:rFonts w:ascii="ＭＳ 明朝" w:hAnsi="ＭＳ 明朝"/>
            <w:color w:val="auto"/>
            <w:szCs w:val="21"/>
          </w:rPr>
          <w:t>https://www.caa.go.jp/policies/policy/standards_evaluation/appliance/positive_list_new</w:t>
        </w:r>
      </w:hyperlink>
    </w:p>
    <w:p w14:paraId="53CE1898" w14:textId="77777777" w:rsidR="00F737BC" w:rsidRPr="001043CA" w:rsidRDefault="00000000" w:rsidP="003C0044">
      <w:pPr>
        <w:pStyle w:val="af0"/>
        <w:numPr>
          <w:ilvl w:val="0"/>
          <w:numId w:val="4"/>
        </w:numPr>
        <w:ind w:leftChars="0"/>
        <w:rPr>
          <w:rFonts w:ascii="ＭＳ 明朝" w:hAnsi="ＭＳ 明朝"/>
          <w:szCs w:val="21"/>
        </w:rPr>
      </w:pPr>
      <w:hyperlink r:id="rId14" w:history="1">
        <w:r w:rsidR="007D28ED" w:rsidRPr="001043CA">
          <w:rPr>
            <w:rStyle w:val="a8"/>
            <w:rFonts w:ascii="ＭＳ 明朝" w:hAnsi="ＭＳ 明朝"/>
            <w:color w:val="auto"/>
            <w:szCs w:val="21"/>
          </w:rPr>
          <w:t>https://www.mhlw.go.jp/stf/shingi/other-iyaku_128714.html</w:t>
        </w:r>
      </w:hyperlink>
    </w:p>
    <w:p w14:paraId="2C930813" w14:textId="24CB852D" w:rsidR="007D28ED" w:rsidRPr="001043CA" w:rsidRDefault="00000000" w:rsidP="00026A72">
      <w:pPr>
        <w:pStyle w:val="af0"/>
        <w:numPr>
          <w:ilvl w:val="0"/>
          <w:numId w:val="4"/>
        </w:numPr>
        <w:ind w:leftChars="0"/>
        <w:rPr>
          <w:rFonts w:ascii="ＭＳ 明朝" w:hAnsi="ＭＳ 明朝"/>
          <w:szCs w:val="21"/>
        </w:rPr>
      </w:pPr>
      <w:hyperlink r:id="rId15" w:tgtFrame="_blank" w:history="1">
        <w:r w:rsidR="007D28ED" w:rsidRPr="001043CA">
          <w:rPr>
            <w:rStyle w:val="a8"/>
            <w:rFonts w:ascii="ＭＳ 明朝" w:hAnsi="ＭＳ 明朝"/>
            <w:color w:val="auto"/>
            <w:szCs w:val="21"/>
          </w:rPr>
          <w:t>https://www.epa.gov/system/files/documents/2024-03/fy-2025-congressional-justification-all-tabs.pdf</w:t>
        </w:r>
      </w:hyperlink>
    </w:p>
    <w:p w14:paraId="360FD287" w14:textId="195ABCE2" w:rsidR="00F737BC" w:rsidRPr="001043CA" w:rsidRDefault="00000000" w:rsidP="00026A72">
      <w:pPr>
        <w:pStyle w:val="af0"/>
        <w:numPr>
          <w:ilvl w:val="0"/>
          <w:numId w:val="4"/>
        </w:numPr>
        <w:ind w:leftChars="0"/>
        <w:rPr>
          <w:rFonts w:ascii="ＭＳ 明朝" w:hAnsi="ＭＳ 明朝"/>
          <w:szCs w:val="21"/>
        </w:rPr>
      </w:pPr>
      <w:hyperlink r:id="rId16" w:tgtFrame="_blank" w:history="1">
        <w:r w:rsidR="000C0F38" w:rsidRPr="001043CA">
          <w:rPr>
            <w:rStyle w:val="a8"/>
            <w:rFonts w:ascii="ＭＳ 明朝" w:hAnsi="ＭＳ 明朝"/>
            <w:color w:val="auto"/>
            <w:szCs w:val="21"/>
          </w:rPr>
          <w:t>https://www.cpsc.gov/s3fs-public/RCA-Phthalates-draft-Federal-Register-Notice-Notice-of-Availability-of-Response-to-Comments-and-Commission-Finding.pdf?VersionId=AJUOjIqpEI5PQJwIsCuwOoNZczWHfJxh</w:t>
        </w:r>
      </w:hyperlink>
    </w:p>
    <w:p w14:paraId="4EA165CE" w14:textId="7E4D255F" w:rsidR="000C0F38" w:rsidRPr="001043CA" w:rsidRDefault="00000000" w:rsidP="00026A72">
      <w:pPr>
        <w:pStyle w:val="af0"/>
        <w:numPr>
          <w:ilvl w:val="0"/>
          <w:numId w:val="4"/>
        </w:numPr>
        <w:ind w:leftChars="0"/>
        <w:rPr>
          <w:rFonts w:ascii="ＭＳ 明朝" w:hAnsi="ＭＳ 明朝"/>
          <w:szCs w:val="21"/>
        </w:rPr>
      </w:pPr>
      <w:hyperlink r:id="rId17" w:tgtFrame="_blank" w:history="1">
        <w:r w:rsidR="00D2223F" w:rsidRPr="001043CA">
          <w:rPr>
            <w:rStyle w:val="a8"/>
            <w:rFonts w:ascii="ＭＳ 明朝" w:hAnsi="ＭＳ 明朝"/>
            <w:color w:val="auto"/>
            <w:szCs w:val="21"/>
          </w:rPr>
          <w:t>https://www.americanchemistry.com/chemistry-in-america/news-trends/press-release/2022/acc-s-high-phthalates-panel-cpsc-continues-to-ignore-the-science-on-the-high-phthalate-dinp</w:t>
        </w:r>
      </w:hyperlink>
    </w:p>
    <w:p w14:paraId="03CABDE0" w14:textId="4CDFE664" w:rsidR="00AF0F55" w:rsidRPr="001043CA" w:rsidRDefault="00000000" w:rsidP="001043CA">
      <w:pPr>
        <w:pStyle w:val="af0"/>
        <w:numPr>
          <w:ilvl w:val="0"/>
          <w:numId w:val="4"/>
        </w:numPr>
        <w:ind w:leftChars="0"/>
        <w:rPr>
          <w:rFonts w:ascii="ＭＳ 明朝" w:hAnsi="ＭＳ 明朝"/>
          <w:szCs w:val="21"/>
        </w:rPr>
      </w:pPr>
      <w:hyperlink r:id="rId18" w:history="1">
        <w:r w:rsidR="009B6A6B" w:rsidRPr="001043CA">
          <w:rPr>
            <w:rStyle w:val="a8"/>
            <w:rFonts w:ascii="ＭＳ 明朝" w:hAnsi="ＭＳ 明朝"/>
            <w:color w:val="auto"/>
            <w:szCs w:val="21"/>
          </w:rPr>
          <w:t>https://www.fda.gov/food/food-ingredients-packaging/phthalates-food-packaging-and-food-contact-applications</w:t>
        </w:r>
      </w:hyperlink>
    </w:p>
    <w:sectPr w:rsidR="00AF0F55" w:rsidRPr="001043CA" w:rsidSect="00EA3856">
      <w:pgSz w:w="11906" w:h="16838" w:code="9"/>
      <w:pgMar w:top="1701" w:right="851" w:bottom="1701" w:left="1021" w:header="851" w:footer="992" w:gutter="0"/>
      <w:cols w:num="2" w:space="420"/>
      <w:docGrid w:type="linesAndChars" w:linePitch="292" w:charSpace="-15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85D6E" w14:textId="77777777" w:rsidR="00EC7968" w:rsidRDefault="00EC7968">
      <w:r>
        <w:separator/>
      </w:r>
    </w:p>
  </w:endnote>
  <w:endnote w:type="continuationSeparator" w:id="0">
    <w:p w14:paraId="256C8A03" w14:textId="77777777" w:rsidR="00EC7968" w:rsidRDefault="00EC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963E9" w14:textId="77777777" w:rsidR="00EC7968" w:rsidRDefault="00EC7968">
      <w:r>
        <w:separator/>
      </w:r>
    </w:p>
  </w:footnote>
  <w:footnote w:type="continuationSeparator" w:id="0">
    <w:p w14:paraId="1FAC9D56" w14:textId="77777777" w:rsidR="00EC7968" w:rsidRDefault="00EC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F4CAB"/>
    <w:multiLevelType w:val="hybridMultilevel"/>
    <w:tmpl w:val="5E821D8C"/>
    <w:lvl w:ilvl="0" w:tplc="886AD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ED4B54"/>
    <w:multiLevelType w:val="hybridMultilevel"/>
    <w:tmpl w:val="EA147F02"/>
    <w:lvl w:ilvl="0" w:tplc="8AA0B0D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8472FD7"/>
    <w:multiLevelType w:val="hybridMultilevel"/>
    <w:tmpl w:val="11041D26"/>
    <w:lvl w:ilvl="0" w:tplc="DF7C217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06263D7"/>
    <w:multiLevelType w:val="hybridMultilevel"/>
    <w:tmpl w:val="03EA8DC2"/>
    <w:lvl w:ilvl="0" w:tplc="5646460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F7C446D"/>
    <w:multiLevelType w:val="hybridMultilevel"/>
    <w:tmpl w:val="645C8BB2"/>
    <w:lvl w:ilvl="0" w:tplc="0C3813C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367190C"/>
    <w:multiLevelType w:val="hybridMultilevel"/>
    <w:tmpl w:val="74C8B0DA"/>
    <w:lvl w:ilvl="0" w:tplc="1BA88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4387245">
    <w:abstractNumId w:val="3"/>
  </w:num>
  <w:num w:numId="2" w16cid:durableId="1521161471">
    <w:abstractNumId w:val="0"/>
  </w:num>
  <w:num w:numId="3" w16cid:durableId="1004163573">
    <w:abstractNumId w:val="5"/>
  </w:num>
  <w:num w:numId="4" w16cid:durableId="1896311891">
    <w:abstractNumId w:val="4"/>
  </w:num>
  <w:num w:numId="5" w16cid:durableId="760371481">
    <w:abstractNumId w:val="2"/>
  </w:num>
  <w:num w:numId="6" w16cid:durableId="1645039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6"/>
  <w:drawingGridHorizontalSpacing w:val="96"/>
  <w:drawingGridVerticalSpacing w:val="333"/>
  <w:displayHorizontalDrawingGridEvery w:val="0"/>
  <w:characterSpacingControl w:val="compressPunctuation"/>
  <w:noLineBreaksAfter w:lang="ja-JP" w:val="$([\{‘“〈《「『【〔＄（［｛｢￡￥"/>
  <w:noLineBreaksBefore w:lang="ja-JP" w:val="!%),.:;?]}°’”‰′″℃、。々〉》」』】〕゛゜ゝゞ・ヽヾ！％），．：；？］｝｡｣､･ﾞﾟ￠"/>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173 pt,2.9 pt"/>
    <w:docVar w:name="DocLay" w:val="YES"/>
    <w:docVar w:name="ValidCPLLPP" w:val="1"/>
    <w:docVar w:name="ViewGrid" w:val="0"/>
  </w:docVars>
  <w:rsids>
    <w:rsidRoot w:val="006F1361"/>
    <w:rsid w:val="00005B68"/>
    <w:rsid w:val="0000740C"/>
    <w:rsid w:val="00010387"/>
    <w:rsid w:val="00015E7F"/>
    <w:rsid w:val="00021C84"/>
    <w:rsid w:val="00023377"/>
    <w:rsid w:val="000320C6"/>
    <w:rsid w:val="000430E2"/>
    <w:rsid w:val="00043DAB"/>
    <w:rsid w:val="00045E17"/>
    <w:rsid w:val="00054AED"/>
    <w:rsid w:val="00057A7F"/>
    <w:rsid w:val="00062C8D"/>
    <w:rsid w:val="00064C24"/>
    <w:rsid w:val="00074061"/>
    <w:rsid w:val="0007466F"/>
    <w:rsid w:val="00075BB3"/>
    <w:rsid w:val="00083A7E"/>
    <w:rsid w:val="00085272"/>
    <w:rsid w:val="00086851"/>
    <w:rsid w:val="000974E5"/>
    <w:rsid w:val="000C05F6"/>
    <w:rsid w:val="000C0F38"/>
    <w:rsid w:val="000C3D13"/>
    <w:rsid w:val="000C4891"/>
    <w:rsid w:val="000C77BD"/>
    <w:rsid w:val="000D363B"/>
    <w:rsid w:val="000D4B5A"/>
    <w:rsid w:val="000E131E"/>
    <w:rsid w:val="000E1FAD"/>
    <w:rsid w:val="000E6B03"/>
    <w:rsid w:val="000E774B"/>
    <w:rsid w:val="000F4AD2"/>
    <w:rsid w:val="00102046"/>
    <w:rsid w:val="00102666"/>
    <w:rsid w:val="001043CA"/>
    <w:rsid w:val="0010443B"/>
    <w:rsid w:val="001047C6"/>
    <w:rsid w:val="001048B5"/>
    <w:rsid w:val="0011026E"/>
    <w:rsid w:val="00114C03"/>
    <w:rsid w:val="00117772"/>
    <w:rsid w:val="00120626"/>
    <w:rsid w:val="0012490C"/>
    <w:rsid w:val="00126B09"/>
    <w:rsid w:val="001342EE"/>
    <w:rsid w:val="001351AD"/>
    <w:rsid w:val="001353EF"/>
    <w:rsid w:val="0013607E"/>
    <w:rsid w:val="00145604"/>
    <w:rsid w:val="001533A3"/>
    <w:rsid w:val="0015405E"/>
    <w:rsid w:val="00155BB2"/>
    <w:rsid w:val="00163747"/>
    <w:rsid w:val="001641C8"/>
    <w:rsid w:val="0017608A"/>
    <w:rsid w:val="00176643"/>
    <w:rsid w:val="00180FD8"/>
    <w:rsid w:val="00182684"/>
    <w:rsid w:val="001A4E07"/>
    <w:rsid w:val="001A576F"/>
    <w:rsid w:val="001A6B44"/>
    <w:rsid w:val="001A7413"/>
    <w:rsid w:val="001B707A"/>
    <w:rsid w:val="001B74DB"/>
    <w:rsid w:val="001C214B"/>
    <w:rsid w:val="001C6492"/>
    <w:rsid w:val="001C7CF0"/>
    <w:rsid w:val="001D3960"/>
    <w:rsid w:val="001D3C36"/>
    <w:rsid w:val="001D5CC5"/>
    <w:rsid w:val="001E125C"/>
    <w:rsid w:val="001E3F23"/>
    <w:rsid w:val="001F1358"/>
    <w:rsid w:val="001F18D6"/>
    <w:rsid w:val="00200092"/>
    <w:rsid w:val="002127B5"/>
    <w:rsid w:val="0021353B"/>
    <w:rsid w:val="00213E42"/>
    <w:rsid w:val="002160B5"/>
    <w:rsid w:val="00226555"/>
    <w:rsid w:val="00232A7B"/>
    <w:rsid w:val="002333BB"/>
    <w:rsid w:val="002346A6"/>
    <w:rsid w:val="00240041"/>
    <w:rsid w:val="00240763"/>
    <w:rsid w:val="00244545"/>
    <w:rsid w:val="0025232C"/>
    <w:rsid w:val="00254BBD"/>
    <w:rsid w:val="0026324E"/>
    <w:rsid w:val="00266556"/>
    <w:rsid w:val="00270BA5"/>
    <w:rsid w:val="0027317E"/>
    <w:rsid w:val="00280135"/>
    <w:rsid w:val="00292202"/>
    <w:rsid w:val="00295A39"/>
    <w:rsid w:val="002A581C"/>
    <w:rsid w:val="002B0D19"/>
    <w:rsid w:val="002B4D4D"/>
    <w:rsid w:val="002C14FA"/>
    <w:rsid w:val="002D2AD4"/>
    <w:rsid w:val="002D2FC2"/>
    <w:rsid w:val="002E137B"/>
    <w:rsid w:val="002E3875"/>
    <w:rsid w:val="002E4322"/>
    <w:rsid w:val="002E4EB4"/>
    <w:rsid w:val="002E6266"/>
    <w:rsid w:val="002E7BE0"/>
    <w:rsid w:val="002F404A"/>
    <w:rsid w:val="002F5971"/>
    <w:rsid w:val="002F627E"/>
    <w:rsid w:val="00300A7B"/>
    <w:rsid w:val="003107C6"/>
    <w:rsid w:val="00320306"/>
    <w:rsid w:val="003231C4"/>
    <w:rsid w:val="003347E5"/>
    <w:rsid w:val="00336A38"/>
    <w:rsid w:val="00344473"/>
    <w:rsid w:val="00345ACA"/>
    <w:rsid w:val="003529BF"/>
    <w:rsid w:val="003562F0"/>
    <w:rsid w:val="0036539F"/>
    <w:rsid w:val="003676EE"/>
    <w:rsid w:val="0038000A"/>
    <w:rsid w:val="0038355A"/>
    <w:rsid w:val="00383D73"/>
    <w:rsid w:val="00385FBF"/>
    <w:rsid w:val="00396F8A"/>
    <w:rsid w:val="003973D9"/>
    <w:rsid w:val="003A4264"/>
    <w:rsid w:val="003B0054"/>
    <w:rsid w:val="003B64F1"/>
    <w:rsid w:val="003B6A48"/>
    <w:rsid w:val="003C00A7"/>
    <w:rsid w:val="003C0F52"/>
    <w:rsid w:val="003D6498"/>
    <w:rsid w:val="003D7BF5"/>
    <w:rsid w:val="003E1419"/>
    <w:rsid w:val="003E36BE"/>
    <w:rsid w:val="003E39D8"/>
    <w:rsid w:val="003E5E51"/>
    <w:rsid w:val="003E6062"/>
    <w:rsid w:val="003F5F80"/>
    <w:rsid w:val="004020D7"/>
    <w:rsid w:val="00404DFC"/>
    <w:rsid w:val="00413225"/>
    <w:rsid w:val="00414B5F"/>
    <w:rsid w:val="00415C18"/>
    <w:rsid w:val="0042399B"/>
    <w:rsid w:val="00427D07"/>
    <w:rsid w:val="0043193C"/>
    <w:rsid w:val="004327E4"/>
    <w:rsid w:val="004342E6"/>
    <w:rsid w:val="00435741"/>
    <w:rsid w:val="00436C77"/>
    <w:rsid w:val="00442200"/>
    <w:rsid w:val="004452A2"/>
    <w:rsid w:val="004538F9"/>
    <w:rsid w:val="0045584D"/>
    <w:rsid w:val="004603C6"/>
    <w:rsid w:val="0046167C"/>
    <w:rsid w:val="00470CDA"/>
    <w:rsid w:val="004719EB"/>
    <w:rsid w:val="004777FE"/>
    <w:rsid w:val="004816AC"/>
    <w:rsid w:val="004828B2"/>
    <w:rsid w:val="00484EE0"/>
    <w:rsid w:val="00492410"/>
    <w:rsid w:val="00496B61"/>
    <w:rsid w:val="004A0727"/>
    <w:rsid w:val="004B005A"/>
    <w:rsid w:val="004B135F"/>
    <w:rsid w:val="004C2368"/>
    <w:rsid w:val="004C2A43"/>
    <w:rsid w:val="004C6B30"/>
    <w:rsid w:val="004D2DC3"/>
    <w:rsid w:val="004E07CD"/>
    <w:rsid w:val="004E177D"/>
    <w:rsid w:val="004E1C41"/>
    <w:rsid w:val="004F0A98"/>
    <w:rsid w:val="004F2E67"/>
    <w:rsid w:val="004F2F68"/>
    <w:rsid w:val="004F5A95"/>
    <w:rsid w:val="004F73FF"/>
    <w:rsid w:val="00506736"/>
    <w:rsid w:val="00511E48"/>
    <w:rsid w:val="0051605A"/>
    <w:rsid w:val="00517297"/>
    <w:rsid w:val="00521A56"/>
    <w:rsid w:val="005312F2"/>
    <w:rsid w:val="00531459"/>
    <w:rsid w:val="00537054"/>
    <w:rsid w:val="00541C73"/>
    <w:rsid w:val="00544440"/>
    <w:rsid w:val="0054792B"/>
    <w:rsid w:val="00555840"/>
    <w:rsid w:val="00555A1C"/>
    <w:rsid w:val="005563BE"/>
    <w:rsid w:val="005565F5"/>
    <w:rsid w:val="00565439"/>
    <w:rsid w:val="00567835"/>
    <w:rsid w:val="00573AB4"/>
    <w:rsid w:val="005745C0"/>
    <w:rsid w:val="00581852"/>
    <w:rsid w:val="005829A7"/>
    <w:rsid w:val="00584D50"/>
    <w:rsid w:val="0058524E"/>
    <w:rsid w:val="00595E43"/>
    <w:rsid w:val="005A5330"/>
    <w:rsid w:val="005A5999"/>
    <w:rsid w:val="005B0772"/>
    <w:rsid w:val="005B6B9C"/>
    <w:rsid w:val="005C04B6"/>
    <w:rsid w:val="005C15DE"/>
    <w:rsid w:val="005C4A51"/>
    <w:rsid w:val="005D46AB"/>
    <w:rsid w:val="005D7C9A"/>
    <w:rsid w:val="005E08A3"/>
    <w:rsid w:val="005E520E"/>
    <w:rsid w:val="005E6679"/>
    <w:rsid w:val="005F4D8F"/>
    <w:rsid w:val="005F4F7C"/>
    <w:rsid w:val="005F61F6"/>
    <w:rsid w:val="005F6809"/>
    <w:rsid w:val="00602512"/>
    <w:rsid w:val="006102BB"/>
    <w:rsid w:val="0062324E"/>
    <w:rsid w:val="00626329"/>
    <w:rsid w:val="006378A0"/>
    <w:rsid w:val="00643114"/>
    <w:rsid w:val="0064387E"/>
    <w:rsid w:val="00643994"/>
    <w:rsid w:val="0065446E"/>
    <w:rsid w:val="0065472F"/>
    <w:rsid w:val="00662868"/>
    <w:rsid w:val="00664262"/>
    <w:rsid w:val="006716CE"/>
    <w:rsid w:val="00673AD9"/>
    <w:rsid w:val="00675A3B"/>
    <w:rsid w:val="006871FA"/>
    <w:rsid w:val="006911D5"/>
    <w:rsid w:val="00692591"/>
    <w:rsid w:val="006A0617"/>
    <w:rsid w:val="006A0E4C"/>
    <w:rsid w:val="006A2876"/>
    <w:rsid w:val="006A44D3"/>
    <w:rsid w:val="006A55B8"/>
    <w:rsid w:val="006B0C16"/>
    <w:rsid w:val="006B1B33"/>
    <w:rsid w:val="006B567C"/>
    <w:rsid w:val="006B661F"/>
    <w:rsid w:val="006C0F07"/>
    <w:rsid w:val="006C1123"/>
    <w:rsid w:val="006D19DD"/>
    <w:rsid w:val="006D2338"/>
    <w:rsid w:val="006D4D60"/>
    <w:rsid w:val="006D5060"/>
    <w:rsid w:val="006D5B3C"/>
    <w:rsid w:val="006D6144"/>
    <w:rsid w:val="006E23E6"/>
    <w:rsid w:val="006F1171"/>
    <w:rsid w:val="006F1361"/>
    <w:rsid w:val="006F1385"/>
    <w:rsid w:val="006F25D3"/>
    <w:rsid w:val="006F4B89"/>
    <w:rsid w:val="006F787C"/>
    <w:rsid w:val="007012C6"/>
    <w:rsid w:val="00705C2E"/>
    <w:rsid w:val="00705F7F"/>
    <w:rsid w:val="007065E0"/>
    <w:rsid w:val="0071046F"/>
    <w:rsid w:val="00710D47"/>
    <w:rsid w:val="007253A1"/>
    <w:rsid w:val="00727B20"/>
    <w:rsid w:val="0073046B"/>
    <w:rsid w:val="00737EDC"/>
    <w:rsid w:val="0074106E"/>
    <w:rsid w:val="007423B7"/>
    <w:rsid w:val="0074404F"/>
    <w:rsid w:val="00752EA1"/>
    <w:rsid w:val="00764174"/>
    <w:rsid w:val="00766276"/>
    <w:rsid w:val="00767C05"/>
    <w:rsid w:val="007710FD"/>
    <w:rsid w:val="00771A87"/>
    <w:rsid w:val="007769D2"/>
    <w:rsid w:val="00781CCF"/>
    <w:rsid w:val="00784B7E"/>
    <w:rsid w:val="0078540B"/>
    <w:rsid w:val="007868CA"/>
    <w:rsid w:val="00786D19"/>
    <w:rsid w:val="0079360D"/>
    <w:rsid w:val="00793966"/>
    <w:rsid w:val="00794329"/>
    <w:rsid w:val="00797E92"/>
    <w:rsid w:val="007A1866"/>
    <w:rsid w:val="007A1E54"/>
    <w:rsid w:val="007A21A1"/>
    <w:rsid w:val="007B0953"/>
    <w:rsid w:val="007D28ED"/>
    <w:rsid w:val="007D2DBF"/>
    <w:rsid w:val="007D66B5"/>
    <w:rsid w:val="007E578E"/>
    <w:rsid w:val="007F175C"/>
    <w:rsid w:val="007F648B"/>
    <w:rsid w:val="007F68BF"/>
    <w:rsid w:val="007F6998"/>
    <w:rsid w:val="008017E3"/>
    <w:rsid w:val="00805C4B"/>
    <w:rsid w:val="00816FC8"/>
    <w:rsid w:val="00817956"/>
    <w:rsid w:val="008216FB"/>
    <w:rsid w:val="0082360D"/>
    <w:rsid w:val="008236FE"/>
    <w:rsid w:val="008269C0"/>
    <w:rsid w:val="00831BC3"/>
    <w:rsid w:val="008335BA"/>
    <w:rsid w:val="00833FC2"/>
    <w:rsid w:val="00845A6F"/>
    <w:rsid w:val="00851E49"/>
    <w:rsid w:val="00854B18"/>
    <w:rsid w:val="00862C0A"/>
    <w:rsid w:val="00864DD9"/>
    <w:rsid w:val="0086784A"/>
    <w:rsid w:val="00870C4A"/>
    <w:rsid w:val="0087414C"/>
    <w:rsid w:val="008762E5"/>
    <w:rsid w:val="00882147"/>
    <w:rsid w:val="00884C1F"/>
    <w:rsid w:val="00885751"/>
    <w:rsid w:val="00891672"/>
    <w:rsid w:val="00892BB6"/>
    <w:rsid w:val="008930D0"/>
    <w:rsid w:val="00897F49"/>
    <w:rsid w:val="008A3196"/>
    <w:rsid w:val="008A5074"/>
    <w:rsid w:val="008B02CC"/>
    <w:rsid w:val="008B2275"/>
    <w:rsid w:val="008C5256"/>
    <w:rsid w:val="008D474D"/>
    <w:rsid w:val="008D572F"/>
    <w:rsid w:val="008E1E1A"/>
    <w:rsid w:val="008E2A45"/>
    <w:rsid w:val="008E4033"/>
    <w:rsid w:val="008E4A3B"/>
    <w:rsid w:val="008E7742"/>
    <w:rsid w:val="008F2214"/>
    <w:rsid w:val="008F2CAE"/>
    <w:rsid w:val="008F561C"/>
    <w:rsid w:val="008F5ECC"/>
    <w:rsid w:val="00901006"/>
    <w:rsid w:val="00902579"/>
    <w:rsid w:val="00903AB8"/>
    <w:rsid w:val="00904CA8"/>
    <w:rsid w:val="009227A2"/>
    <w:rsid w:val="009250E1"/>
    <w:rsid w:val="00926135"/>
    <w:rsid w:val="00926D63"/>
    <w:rsid w:val="00941602"/>
    <w:rsid w:val="009455C7"/>
    <w:rsid w:val="00946A51"/>
    <w:rsid w:val="00955373"/>
    <w:rsid w:val="00957C74"/>
    <w:rsid w:val="00962703"/>
    <w:rsid w:val="009653FB"/>
    <w:rsid w:val="0097025C"/>
    <w:rsid w:val="00971532"/>
    <w:rsid w:val="00972B6C"/>
    <w:rsid w:val="009733A3"/>
    <w:rsid w:val="00980B1C"/>
    <w:rsid w:val="00985E06"/>
    <w:rsid w:val="00986FCC"/>
    <w:rsid w:val="0099561A"/>
    <w:rsid w:val="009A087D"/>
    <w:rsid w:val="009A2B6D"/>
    <w:rsid w:val="009A3BFF"/>
    <w:rsid w:val="009A4D06"/>
    <w:rsid w:val="009B1790"/>
    <w:rsid w:val="009B31C4"/>
    <w:rsid w:val="009B3E03"/>
    <w:rsid w:val="009B6A6B"/>
    <w:rsid w:val="009C112A"/>
    <w:rsid w:val="009C421C"/>
    <w:rsid w:val="009C42A7"/>
    <w:rsid w:val="009C4CE9"/>
    <w:rsid w:val="009C6A37"/>
    <w:rsid w:val="009C7068"/>
    <w:rsid w:val="009D007C"/>
    <w:rsid w:val="009D3CE9"/>
    <w:rsid w:val="009D653E"/>
    <w:rsid w:val="009D7015"/>
    <w:rsid w:val="009E17DD"/>
    <w:rsid w:val="009E1B1A"/>
    <w:rsid w:val="009E460C"/>
    <w:rsid w:val="009E5E62"/>
    <w:rsid w:val="009F21A1"/>
    <w:rsid w:val="009F7DA3"/>
    <w:rsid w:val="00A03345"/>
    <w:rsid w:val="00A03E56"/>
    <w:rsid w:val="00A0476D"/>
    <w:rsid w:val="00A06F65"/>
    <w:rsid w:val="00A12DDD"/>
    <w:rsid w:val="00A13DAC"/>
    <w:rsid w:val="00A15718"/>
    <w:rsid w:val="00A35A7B"/>
    <w:rsid w:val="00A35E44"/>
    <w:rsid w:val="00A36076"/>
    <w:rsid w:val="00A40BAF"/>
    <w:rsid w:val="00A43CEF"/>
    <w:rsid w:val="00A53A81"/>
    <w:rsid w:val="00A54425"/>
    <w:rsid w:val="00A551AC"/>
    <w:rsid w:val="00A60433"/>
    <w:rsid w:val="00A75118"/>
    <w:rsid w:val="00A8015A"/>
    <w:rsid w:val="00A80586"/>
    <w:rsid w:val="00A81193"/>
    <w:rsid w:val="00A8142D"/>
    <w:rsid w:val="00A83466"/>
    <w:rsid w:val="00A840DD"/>
    <w:rsid w:val="00A86949"/>
    <w:rsid w:val="00A87600"/>
    <w:rsid w:val="00A87D61"/>
    <w:rsid w:val="00A9345D"/>
    <w:rsid w:val="00A94416"/>
    <w:rsid w:val="00A958E0"/>
    <w:rsid w:val="00AA22B3"/>
    <w:rsid w:val="00AA40BB"/>
    <w:rsid w:val="00AB4FD5"/>
    <w:rsid w:val="00AB5F98"/>
    <w:rsid w:val="00AC05D6"/>
    <w:rsid w:val="00AC1BB1"/>
    <w:rsid w:val="00AC2F32"/>
    <w:rsid w:val="00AC3142"/>
    <w:rsid w:val="00AC3B95"/>
    <w:rsid w:val="00AC6121"/>
    <w:rsid w:val="00AD589B"/>
    <w:rsid w:val="00AE26E5"/>
    <w:rsid w:val="00AE638A"/>
    <w:rsid w:val="00AE66D1"/>
    <w:rsid w:val="00AE6D82"/>
    <w:rsid w:val="00AF0F55"/>
    <w:rsid w:val="00AF20E6"/>
    <w:rsid w:val="00AF4EF8"/>
    <w:rsid w:val="00AF6D7C"/>
    <w:rsid w:val="00AF6FBD"/>
    <w:rsid w:val="00AF7E03"/>
    <w:rsid w:val="00B0101E"/>
    <w:rsid w:val="00B01FAF"/>
    <w:rsid w:val="00B0699A"/>
    <w:rsid w:val="00B14D7F"/>
    <w:rsid w:val="00B154C6"/>
    <w:rsid w:val="00B1573E"/>
    <w:rsid w:val="00B15C21"/>
    <w:rsid w:val="00B2216B"/>
    <w:rsid w:val="00B2251D"/>
    <w:rsid w:val="00B22F43"/>
    <w:rsid w:val="00B34BF2"/>
    <w:rsid w:val="00B454FD"/>
    <w:rsid w:val="00B46909"/>
    <w:rsid w:val="00B523B4"/>
    <w:rsid w:val="00B5587C"/>
    <w:rsid w:val="00B629EA"/>
    <w:rsid w:val="00B63CE8"/>
    <w:rsid w:val="00B6459B"/>
    <w:rsid w:val="00B73F63"/>
    <w:rsid w:val="00B7455A"/>
    <w:rsid w:val="00B8088E"/>
    <w:rsid w:val="00B8135B"/>
    <w:rsid w:val="00B83DF9"/>
    <w:rsid w:val="00B9067C"/>
    <w:rsid w:val="00B94C7E"/>
    <w:rsid w:val="00B9788D"/>
    <w:rsid w:val="00BA2D38"/>
    <w:rsid w:val="00BA509A"/>
    <w:rsid w:val="00BB0B5D"/>
    <w:rsid w:val="00BB45DF"/>
    <w:rsid w:val="00BB6BBF"/>
    <w:rsid w:val="00BC3700"/>
    <w:rsid w:val="00BC61E2"/>
    <w:rsid w:val="00BE34C6"/>
    <w:rsid w:val="00BE70DE"/>
    <w:rsid w:val="00BE7723"/>
    <w:rsid w:val="00BF0A10"/>
    <w:rsid w:val="00BF1054"/>
    <w:rsid w:val="00BF63E2"/>
    <w:rsid w:val="00BF6B5E"/>
    <w:rsid w:val="00BF7924"/>
    <w:rsid w:val="00C0324F"/>
    <w:rsid w:val="00C062F1"/>
    <w:rsid w:val="00C065DE"/>
    <w:rsid w:val="00C3136E"/>
    <w:rsid w:val="00C34FE9"/>
    <w:rsid w:val="00C41537"/>
    <w:rsid w:val="00C4210D"/>
    <w:rsid w:val="00C43C22"/>
    <w:rsid w:val="00C44C1E"/>
    <w:rsid w:val="00C54843"/>
    <w:rsid w:val="00C54D3B"/>
    <w:rsid w:val="00C60514"/>
    <w:rsid w:val="00C61972"/>
    <w:rsid w:val="00C640B9"/>
    <w:rsid w:val="00C6726A"/>
    <w:rsid w:val="00C74603"/>
    <w:rsid w:val="00C83628"/>
    <w:rsid w:val="00C930EA"/>
    <w:rsid w:val="00C97F7D"/>
    <w:rsid w:val="00CA3814"/>
    <w:rsid w:val="00CA4D56"/>
    <w:rsid w:val="00CA5EE3"/>
    <w:rsid w:val="00CB4B3D"/>
    <w:rsid w:val="00CB6E05"/>
    <w:rsid w:val="00CC095E"/>
    <w:rsid w:val="00CC1666"/>
    <w:rsid w:val="00CC24F0"/>
    <w:rsid w:val="00CC5F80"/>
    <w:rsid w:val="00CC62AE"/>
    <w:rsid w:val="00CD0187"/>
    <w:rsid w:val="00CD7554"/>
    <w:rsid w:val="00CE0396"/>
    <w:rsid w:val="00CE2C73"/>
    <w:rsid w:val="00CE2CD8"/>
    <w:rsid w:val="00CE5A97"/>
    <w:rsid w:val="00CF088A"/>
    <w:rsid w:val="00CF0D91"/>
    <w:rsid w:val="00CF25A0"/>
    <w:rsid w:val="00CF4B91"/>
    <w:rsid w:val="00CF5A89"/>
    <w:rsid w:val="00CF73D2"/>
    <w:rsid w:val="00D04B23"/>
    <w:rsid w:val="00D06B47"/>
    <w:rsid w:val="00D06CC3"/>
    <w:rsid w:val="00D2223F"/>
    <w:rsid w:val="00D22865"/>
    <w:rsid w:val="00D231B6"/>
    <w:rsid w:val="00D23570"/>
    <w:rsid w:val="00D342AB"/>
    <w:rsid w:val="00D35402"/>
    <w:rsid w:val="00D4304A"/>
    <w:rsid w:val="00D457AB"/>
    <w:rsid w:val="00D612FC"/>
    <w:rsid w:val="00D75989"/>
    <w:rsid w:val="00D81814"/>
    <w:rsid w:val="00D82120"/>
    <w:rsid w:val="00D83C94"/>
    <w:rsid w:val="00D842F0"/>
    <w:rsid w:val="00D85C12"/>
    <w:rsid w:val="00D875D5"/>
    <w:rsid w:val="00D87A1F"/>
    <w:rsid w:val="00D94668"/>
    <w:rsid w:val="00DA17D4"/>
    <w:rsid w:val="00DA1F76"/>
    <w:rsid w:val="00DA4A43"/>
    <w:rsid w:val="00DC1117"/>
    <w:rsid w:val="00DC6A8F"/>
    <w:rsid w:val="00DD1B0B"/>
    <w:rsid w:val="00DD661E"/>
    <w:rsid w:val="00DE2C9A"/>
    <w:rsid w:val="00DE3856"/>
    <w:rsid w:val="00DF0340"/>
    <w:rsid w:val="00DF355E"/>
    <w:rsid w:val="00E05C57"/>
    <w:rsid w:val="00E14936"/>
    <w:rsid w:val="00E1743D"/>
    <w:rsid w:val="00E24507"/>
    <w:rsid w:val="00E26C6F"/>
    <w:rsid w:val="00E275FC"/>
    <w:rsid w:val="00E339A9"/>
    <w:rsid w:val="00E352FA"/>
    <w:rsid w:val="00E40B72"/>
    <w:rsid w:val="00E41FD3"/>
    <w:rsid w:val="00E627EB"/>
    <w:rsid w:val="00E64EC8"/>
    <w:rsid w:val="00E662F1"/>
    <w:rsid w:val="00E7120D"/>
    <w:rsid w:val="00E839D1"/>
    <w:rsid w:val="00E90335"/>
    <w:rsid w:val="00E9336A"/>
    <w:rsid w:val="00EA10B4"/>
    <w:rsid w:val="00EA2776"/>
    <w:rsid w:val="00EA3856"/>
    <w:rsid w:val="00EA38E7"/>
    <w:rsid w:val="00EA3E7C"/>
    <w:rsid w:val="00EB5A8F"/>
    <w:rsid w:val="00EB6960"/>
    <w:rsid w:val="00EC09D8"/>
    <w:rsid w:val="00EC25DC"/>
    <w:rsid w:val="00EC34DB"/>
    <w:rsid w:val="00EC59E7"/>
    <w:rsid w:val="00EC67AB"/>
    <w:rsid w:val="00EC6B83"/>
    <w:rsid w:val="00EC7825"/>
    <w:rsid w:val="00EC7968"/>
    <w:rsid w:val="00ED0BC0"/>
    <w:rsid w:val="00ED3731"/>
    <w:rsid w:val="00EE460C"/>
    <w:rsid w:val="00EE5042"/>
    <w:rsid w:val="00EE7219"/>
    <w:rsid w:val="00EF059C"/>
    <w:rsid w:val="00EF0D26"/>
    <w:rsid w:val="00EF3929"/>
    <w:rsid w:val="00EF3CBC"/>
    <w:rsid w:val="00EF63D7"/>
    <w:rsid w:val="00F0355E"/>
    <w:rsid w:val="00F04CF6"/>
    <w:rsid w:val="00F05154"/>
    <w:rsid w:val="00F14623"/>
    <w:rsid w:val="00F226F0"/>
    <w:rsid w:val="00F254E0"/>
    <w:rsid w:val="00F26A2B"/>
    <w:rsid w:val="00F32C4D"/>
    <w:rsid w:val="00F3741E"/>
    <w:rsid w:val="00F4159B"/>
    <w:rsid w:val="00F45CDC"/>
    <w:rsid w:val="00F50FBA"/>
    <w:rsid w:val="00F53C90"/>
    <w:rsid w:val="00F544C4"/>
    <w:rsid w:val="00F57323"/>
    <w:rsid w:val="00F61447"/>
    <w:rsid w:val="00F6315B"/>
    <w:rsid w:val="00F63A74"/>
    <w:rsid w:val="00F70ED8"/>
    <w:rsid w:val="00F7306D"/>
    <w:rsid w:val="00F737BC"/>
    <w:rsid w:val="00F73AC2"/>
    <w:rsid w:val="00F756B5"/>
    <w:rsid w:val="00F76E74"/>
    <w:rsid w:val="00F9126F"/>
    <w:rsid w:val="00F972C9"/>
    <w:rsid w:val="00F97ACF"/>
    <w:rsid w:val="00FA29F2"/>
    <w:rsid w:val="00FA3646"/>
    <w:rsid w:val="00FB70CD"/>
    <w:rsid w:val="00FB7EB6"/>
    <w:rsid w:val="00FC0CB5"/>
    <w:rsid w:val="00FC2C9E"/>
    <w:rsid w:val="00FC3C87"/>
    <w:rsid w:val="00FC496C"/>
    <w:rsid w:val="00FC6EF9"/>
    <w:rsid w:val="00FD0A4D"/>
    <w:rsid w:val="00FD37D1"/>
    <w:rsid w:val="00FD38D5"/>
    <w:rsid w:val="00FD56AF"/>
    <w:rsid w:val="00FE2052"/>
    <w:rsid w:val="00FE4529"/>
    <w:rsid w:val="00FF2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5DA11389"/>
  <w15:chartTrackingRefBased/>
  <w15:docId w15:val="{79A9DC6F-00D6-4675-A45C-39264F019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Times New Roman" w:eastAsia="ＭＳ 明朝" w:hAnsi="Century Gothic"/>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1C7CF0"/>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B6E05"/>
    <w:rPr>
      <w:rFonts w:ascii="Arial" w:eastAsia="ＭＳ ゴシック" w:hAnsi="Arial"/>
      <w:sz w:val="18"/>
      <w:szCs w:val="18"/>
    </w:rPr>
  </w:style>
  <w:style w:type="character" w:customStyle="1" w:styleId="a7">
    <w:name w:val="吹き出し (文字)"/>
    <w:link w:val="a6"/>
    <w:rsid w:val="00CB6E05"/>
    <w:rPr>
      <w:rFonts w:ascii="Arial" w:eastAsia="ＭＳ ゴシック" w:hAnsi="Arial" w:cs="Times New Roman"/>
      <w:spacing w:val="-5"/>
      <w:sz w:val="18"/>
      <w:szCs w:val="18"/>
    </w:rPr>
  </w:style>
  <w:style w:type="character" w:styleId="a8">
    <w:name w:val="Hyperlink"/>
    <w:rsid w:val="002D2FC2"/>
    <w:rPr>
      <w:color w:val="0563C1"/>
      <w:u w:val="single"/>
    </w:rPr>
  </w:style>
  <w:style w:type="character" w:styleId="a9">
    <w:name w:val="Unresolved Mention"/>
    <w:uiPriority w:val="99"/>
    <w:semiHidden/>
    <w:unhideWhenUsed/>
    <w:rsid w:val="002D2FC2"/>
    <w:rPr>
      <w:color w:val="605E5C"/>
      <w:shd w:val="clear" w:color="auto" w:fill="E1DFDD"/>
    </w:rPr>
  </w:style>
  <w:style w:type="character" w:styleId="aa">
    <w:name w:val="annotation reference"/>
    <w:rsid w:val="00926135"/>
    <w:rPr>
      <w:sz w:val="18"/>
      <w:szCs w:val="18"/>
    </w:rPr>
  </w:style>
  <w:style w:type="paragraph" w:styleId="ab">
    <w:name w:val="annotation text"/>
    <w:basedOn w:val="a"/>
    <w:link w:val="ac"/>
    <w:rsid w:val="00926135"/>
    <w:pPr>
      <w:jc w:val="left"/>
    </w:pPr>
  </w:style>
  <w:style w:type="character" w:customStyle="1" w:styleId="ac">
    <w:name w:val="コメント文字列 (文字)"/>
    <w:link w:val="ab"/>
    <w:rsid w:val="00926135"/>
    <w:rPr>
      <w:rFonts w:ascii="Times New Roman" w:eastAsia="ＭＳ 明朝" w:hAnsi="Century Gothic"/>
      <w:spacing w:val="-5"/>
      <w:sz w:val="21"/>
    </w:rPr>
  </w:style>
  <w:style w:type="paragraph" w:styleId="ad">
    <w:name w:val="annotation subject"/>
    <w:basedOn w:val="ab"/>
    <w:next w:val="ab"/>
    <w:link w:val="ae"/>
    <w:rsid w:val="00926135"/>
    <w:rPr>
      <w:b/>
      <w:bCs/>
    </w:rPr>
  </w:style>
  <w:style w:type="character" w:customStyle="1" w:styleId="ae">
    <w:name w:val="コメント内容 (文字)"/>
    <w:link w:val="ad"/>
    <w:rsid w:val="00926135"/>
    <w:rPr>
      <w:rFonts w:ascii="Times New Roman" w:eastAsia="ＭＳ 明朝" w:hAnsi="Century Gothic"/>
      <w:b/>
      <w:bCs/>
      <w:spacing w:val="-5"/>
      <w:sz w:val="21"/>
    </w:rPr>
  </w:style>
  <w:style w:type="paragraph" w:styleId="Web">
    <w:name w:val="Normal (Web)"/>
    <w:basedOn w:val="a"/>
    <w:uiPriority w:val="99"/>
    <w:unhideWhenUsed/>
    <w:rsid w:val="00771A87"/>
    <w:pPr>
      <w:widowControl/>
      <w:adjustRightInd/>
      <w:spacing w:before="100" w:beforeAutospacing="1" w:after="100" w:afterAutospacing="1"/>
      <w:jc w:val="left"/>
      <w:textAlignment w:val="auto"/>
    </w:pPr>
    <w:rPr>
      <w:rFonts w:ascii="ＭＳ Ｐゴシック" w:eastAsia="ＭＳ Ｐゴシック" w:hAnsi="ＭＳ Ｐゴシック" w:cs="ＭＳ Ｐゴシック"/>
      <w:spacing w:val="0"/>
      <w:sz w:val="24"/>
      <w:szCs w:val="24"/>
    </w:rPr>
  </w:style>
  <w:style w:type="character" w:styleId="af">
    <w:name w:val="FollowedHyperlink"/>
    <w:basedOn w:val="a0"/>
    <w:rsid w:val="004C6B30"/>
    <w:rPr>
      <w:color w:val="96607D" w:themeColor="followedHyperlink"/>
      <w:u w:val="single"/>
    </w:rPr>
  </w:style>
  <w:style w:type="paragraph" w:styleId="af0">
    <w:name w:val="List Paragraph"/>
    <w:basedOn w:val="a"/>
    <w:uiPriority w:val="34"/>
    <w:qFormat/>
    <w:rsid w:val="00FD37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411768">
      <w:bodyDiv w:val="1"/>
      <w:marLeft w:val="0"/>
      <w:marRight w:val="0"/>
      <w:marTop w:val="0"/>
      <w:marBottom w:val="0"/>
      <w:divBdr>
        <w:top w:val="none" w:sz="0" w:space="0" w:color="auto"/>
        <w:left w:val="none" w:sz="0" w:space="0" w:color="auto"/>
        <w:bottom w:val="none" w:sz="0" w:space="0" w:color="auto"/>
        <w:right w:val="none" w:sz="0" w:space="0" w:color="auto"/>
      </w:divBdr>
    </w:div>
    <w:div w:id="609699017">
      <w:bodyDiv w:val="1"/>
      <w:marLeft w:val="0"/>
      <w:marRight w:val="0"/>
      <w:marTop w:val="0"/>
      <w:marBottom w:val="0"/>
      <w:divBdr>
        <w:top w:val="none" w:sz="0" w:space="0" w:color="auto"/>
        <w:left w:val="none" w:sz="0" w:space="0" w:color="auto"/>
        <w:bottom w:val="none" w:sz="0" w:space="0" w:color="auto"/>
        <w:right w:val="none" w:sz="0" w:space="0" w:color="auto"/>
      </w:divBdr>
    </w:div>
    <w:div w:id="845904346">
      <w:bodyDiv w:val="1"/>
      <w:marLeft w:val="0"/>
      <w:marRight w:val="0"/>
      <w:marTop w:val="0"/>
      <w:marBottom w:val="0"/>
      <w:divBdr>
        <w:top w:val="none" w:sz="0" w:space="0" w:color="auto"/>
        <w:left w:val="none" w:sz="0" w:space="0" w:color="auto"/>
        <w:bottom w:val="none" w:sz="0" w:space="0" w:color="auto"/>
        <w:right w:val="none" w:sz="0" w:space="0" w:color="auto"/>
      </w:divBdr>
    </w:div>
    <w:div w:id="964384977">
      <w:bodyDiv w:val="1"/>
      <w:marLeft w:val="0"/>
      <w:marRight w:val="0"/>
      <w:marTop w:val="0"/>
      <w:marBottom w:val="0"/>
      <w:divBdr>
        <w:top w:val="none" w:sz="0" w:space="0" w:color="auto"/>
        <w:left w:val="none" w:sz="0" w:space="0" w:color="auto"/>
        <w:bottom w:val="none" w:sz="0" w:space="0" w:color="auto"/>
        <w:right w:val="none" w:sz="0" w:space="0" w:color="auto"/>
      </w:divBdr>
    </w:div>
    <w:div w:id="1249578265">
      <w:bodyDiv w:val="1"/>
      <w:marLeft w:val="0"/>
      <w:marRight w:val="0"/>
      <w:marTop w:val="0"/>
      <w:marBottom w:val="0"/>
      <w:divBdr>
        <w:top w:val="none" w:sz="0" w:space="0" w:color="auto"/>
        <w:left w:val="none" w:sz="0" w:space="0" w:color="auto"/>
        <w:bottom w:val="none" w:sz="0" w:space="0" w:color="auto"/>
        <w:right w:val="none" w:sz="0" w:space="0" w:color="auto"/>
      </w:divBdr>
    </w:div>
    <w:div w:id="1347906390">
      <w:bodyDiv w:val="1"/>
      <w:marLeft w:val="0"/>
      <w:marRight w:val="0"/>
      <w:marTop w:val="0"/>
      <w:marBottom w:val="0"/>
      <w:divBdr>
        <w:top w:val="none" w:sz="0" w:space="0" w:color="auto"/>
        <w:left w:val="none" w:sz="0" w:space="0" w:color="auto"/>
        <w:bottom w:val="none" w:sz="0" w:space="0" w:color="auto"/>
        <w:right w:val="none" w:sz="0" w:space="0" w:color="auto"/>
      </w:divBdr>
    </w:div>
    <w:div w:id="1487043368">
      <w:bodyDiv w:val="1"/>
      <w:marLeft w:val="0"/>
      <w:marRight w:val="0"/>
      <w:marTop w:val="0"/>
      <w:marBottom w:val="0"/>
      <w:divBdr>
        <w:top w:val="none" w:sz="0" w:space="0" w:color="auto"/>
        <w:left w:val="none" w:sz="0" w:space="0" w:color="auto"/>
        <w:bottom w:val="none" w:sz="0" w:space="0" w:color="auto"/>
        <w:right w:val="none" w:sz="0" w:space="0" w:color="auto"/>
      </w:divBdr>
    </w:div>
    <w:div w:id="1545212886">
      <w:bodyDiv w:val="1"/>
      <w:marLeft w:val="0"/>
      <w:marRight w:val="0"/>
      <w:marTop w:val="0"/>
      <w:marBottom w:val="0"/>
      <w:divBdr>
        <w:top w:val="none" w:sz="0" w:space="0" w:color="auto"/>
        <w:left w:val="none" w:sz="0" w:space="0" w:color="auto"/>
        <w:bottom w:val="none" w:sz="0" w:space="0" w:color="auto"/>
        <w:right w:val="none" w:sz="0" w:space="0" w:color="auto"/>
      </w:divBdr>
    </w:div>
    <w:div w:id="1959145869">
      <w:bodyDiv w:val="1"/>
      <w:marLeft w:val="0"/>
      <w:marRight w:val="0"/>
      <w:marTop w:val="0"/>
      <w:marBottom w:val="0"/>
      <w:divBdr>
        <w:top w:val="none" w:sz="0" w:space="0" w:color="auto"/>
        <w:left w:val="none" w:sz="0" w:space="0" w:color="auto"/>
        <w:bottom w:val="none" w:sz="0" w:space="0" w:color="auto"/>
        <w:right w:val="none" w:sz="0" w:space="0" w:color="auto"/>
      </w:divBdr>
    </w:div>
    <w:div w:id="212638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caa.go.jp/policies/policy/standards_evaluation/appliance/positive_list_new" TargetMode="External"/><Relationship Id="rId18" Type="http://schemas.openxmlformats.org/officeDocument/2006/relationships/hyperlink" Target="https://www.fda.gov/food/food-ingredients-packaging/phthalates-food-packaging-and-food-contact-applications"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mhlw.go.jp/stf/newpage_05148.html" TargetMode="External"/><Relationship Id="rId17" Type="http://schemas.openxmlformats.org/officeDocument/2006/relationships/hyperlink" Target="https://www.americanchemistry.com/chemistry-in-america/news-trends/press-release/2022/acc-s-high-phthalates-panel-cpsc-continues-to-ignore-the-science-on-the-high-phthalate-dinp" TargetMode="External"/><Relationship Id="rId2" Type="http://schemas.openxmlformats.org/officeDocument/2006/relationships/styles" Target="styles.xml"/><Relationship Id="rId16" Type="http://schemas.openxmlformats.org/officeDocument/2006/relationships/hyperlink" Target="https://www.cpsc.gov/s3fs-public/RCA-Phthalates-draft-Federal-Register-Notice-Notice-of-Availability-of-Response-to-Comments-and-Commission-Finding.pdf?VersionId=AJUOjIqpEI5PQJwIsCuwOoNZczWHfJx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asozai.gr.jp/sds/" TargetMode="External"/><Relationship Id="rId5" Type="http://schemas.openxmlformats.org/officeDocument/2006/relationships/footnotes" Target="footnotes.xml"/><Relationship Id="rId15" Type="http://schemas.openxmlformats.org/officeDocument/2006/relationships/hyperlink" Target="https://www.epa.gov/system/files/documents/2024-03/fy-2025-congressional-justification-all-tabs.pdf" TargetMode="External"/><Relationship Id="rId10" Type="http://schemas.openxmlformats.org/officeDocument/2006/relationships/hyperlink" Target="https://www.mhlw.go.jp/content/11305000/001043125.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asozai.gr.jp/book/" TargetMode="External"/><Relationship Id="rId14" Type="http://schemas.openxmlformats.org/officeDocument/2006/relationships/hyperlink" Target="https://www.mhlw.go.jp/stf/shingi/other-iyaku_128714.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1594</TotalTime>
  <Pages>3</Pages>
  <Words>1168</Words>
  <Characters>6658</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ここでの１頁はニュースの0</vt:lpstr>
      <vt:lpstr>ここでの１頁はニュースの0</vt:lpstr>
    </vt:vector>
  </TitlesOfParts>
  <Company/>
  <LinksUpToDate>false</LinksUpToDate>
  <CharactersWithSpaces>7811</CharactersWithSpaces>
  <SharedDoc>false</SharedDoc>
  <HLinks>
    <vt:vector size="12" baseType="variant">
      <vt:variant>
        <vt:i4>1376267</vt:i4>
      </vt:variant>
      <vt:variant>
        <vt:i4>3</vt:i4>
      </vt:variant>
      <vt:variant>
        <vt:i4>0</vt:i4>
      </vt:variant>
      <vt:variant>
        <vt:i4>5</vt:i4>
      </vt:variant>
      <vt:variant>
        <vt:lpwstr>https://www.atsdr.cdc.gov/ToxProfiles/tp9.pdf</vt:lpwstr>
      </vt:variant>
      <vt:variant>
        <vt:lpwstr/>
      </vt:variant>
      <vt:variant>
        <vt:i4>3276870</vt:i4>
      </vt:variant>
      <vt:variant>
        <vt:i4>0</vt:i4>
      </vt:variant>
      <vt:variant>
        <vt:i4>0</vt:i4>
      </vt:variant>
      <vt:variant>
        <vt:i4>5</vt:i4>
      </vt:variant>
      <vt:variant>
        <vt:lpwstr>https://www.meti.go.jp/policy/chemical_management/kasinhou/files/information/ra/ra1_210330_10.pdf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宮崎 謙一</cp:lastModifiedBy>
  <cp:revision>196</cp:revision>
  <cp:lastPrinted>2018-09-05T07:49:00Z</cp:lastPrinted>
  <dcterms:created xsi:type="dcterms:W3CDTF">2024-08-23T07:39:00Z</dcterms:created>
  <dcterms:modified xsi:type="dcterms:W3CDTF">2024-09-17T00:28:00Z</dcterms:modified>
</cp:coreProperties>
</file>