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F6261" w14:textId="19C545AD" w:rsidR="0062324E" w:rsidRPr="002D2AD4" w:rsidRDefault="00396F8A" w:rsidP="0062324E">
      <w:pPr>
        <w:rPr>
          <w:rFonts w:ascii="ＭＳ 明朝" w:hAnsi="ＭＳ 明朝"/>
          <w:szCs w:val="21"/>
        </w:rPr>
      </w:pPr>
      <w:r w:rsidRPr="002D2AD4">
        <w:rPr>
          <w:rFonts w:ascii="ＭＳ 明朝" w:hAnsi="ＭＳ 明朝" w:hint="eastAsia"/>
          <w:szCs w:val="21"/>
        </w:rPr>
        <w:t>１</w:t>
      </w:r>
      <w:r w:rsidR="00D87A1F" w:rsidRPr="002D2AD4">
        <w:rPr>
          <w:noProof/>
        </w:rPr>
        <mc:AlternateContent>
          <mc:Choice Requires="wps">
            <w:drawing>
              <wp:anchor distT="0" distB="0" distL="114300" distR="114300" simplePos="0" relativeHeight="251658240" behindDoc="0" locked="0" layoutInCell="1" allowOverlap="1" wp14:anchorId="0A82AC51" wp14:editId="143A4066">
                <wp:simplePos x="0" y="0"/>
                <wp:positionH relativeFrom="column">
                  <wp:posOffset>-7620</wp:posOffset>
                </wp:positionH>
                <wp:positionV relativeFrom="paragraph">
                  <wp:posOffset>-818515</wp:posOffset>
                </wp:positionV>
                <wp:extent cx="6278880" cy="293370"/>
                <wp:effectExtent l="0" t="0" r="0" b="0"/>
                <wp:wrapNone/>
                <wp:docPr id="17508145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293370"/>
                        </a:xfrm>
                        <a:prstGeom prst="rect">
                          <a:avLst/>
                        </a:prstGeom>
                        <a:solidFill>
                          <a:srgbClr val="FFFFFF"/>
                        </a:solidFill>
                        <a:ln w="9525">
                          <a:solidFill>
                            <a:srgbClr val="FF0000"/>
                          </a:solidFill>
                          <a:miter lim="800000"/>
                          <a:headEnd/>
                          <a:tailEnd/>
                        </a:ln>
                      </wps:spPr>
                      <wps:txb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82AC51" id="_x0000_t202" coordsize="21600,21600" o:spt="202" path="m,l,21600r21600,l21600,xe">
                <v:stroke joinstyle="miter"/>
                <v:path gradientshapeok="t" o:connecttype="rect"/>
              </v:shapetype>
              <v:shape id="テキスト ボックス 2" o:spid="_x0000_s1026" type="#_x0000_t202" style="position:absolute;left:0;text-align:left;margin-left:-.6pt;margin-top:-64.45pt;width:494.4pt;height:2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" strokecolor="red">
                <v:textbo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v:textbox>
              </v:shape>
            </w:pict>
          </mc:Fallback>
        </mc:AlternateContent>
      </w:r>
      <w:r w:rsidR="00D87A1F" w:rsidRPr="002D2AD4">
        <w:rPr>
          <w:noProof/>
          <w:sz w:val="20"/>
        </w:rPr>
        <mc:AlternateContent>
          <mc:Choice Requires="wps">
            <w:drawing>
              <wp:anchor distT="0" distB="0" distL="114300" distR="114300" simplePos="0" relativeHeight="251657216" behindDoc="0" locked="0" layoutInCell="1" allowOverlap="1" wp14:anchorId="521964E2" wp14:editId="79002591">
                <wp:simplePos x="0" y="0"/>
                <wp:positionH relativeFrom="column">
                  <wp:posOffset>6985</wp:posOffset>
                </wp:positionH>
                <wp:positionV relativeFrom="paragraph">
                  <wp:posOffset>-511810</wp:posOffset>
                </wp:positionV>
                <wp:extent cx="6278880" cy="504825"/>
                <wp:effectExtent l="0" t="0" r="0" b="0"/>
                <wp:wrapNone/>
                <wp:docPr id="4715177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504825"/>
                        </a:xfrm>
                        <a:prstGeom prst="rect">
                          <a:avLst/>
                        </a:prstGeom>
                        <a:solidFill>
                          <a:srgbClr val="FFFFFF"/>
                        </a:solidFill>
                        <a:ln w="9525">
                          <a:solidFill>
                            <a:srgbClr val="000000"/>
                          </a:solidFill>
                          <a:miter lim="800000"/>
                          <a:headEnd/>
                          <a:tailEnd/>
                        </a:ln>
                      </wps:spPr>
                      <wps:txbx>
                        <w:txbxContent>
                          <w:p w14:paraId="3C1B6FC1" w14:textId="178B410C" w:rsidR="009A3BFF" w:rsidRPr="005D01A2" w:rsidRDefault="00420FCC" w:rsidP="00884C1F">
                            <w:pPr>
                              <w:rPr>
                                <w:rFonts w:ascii="ＭＳ 明朝" w:hAnsi="ＭＳ 明朝"/>
                                <w:szCs w:val="21"/>
                              </w:rPr>
                            </w:pPr>
                            <w:r>
                              <w:rPr>
                                <w:rFonts w:ascii="ＭＳ 明朝" w:hAnsi="ＭＳ 明朝" w:hint="eastAsia"/>
                                <w:szCs w:val="21"/>
                              </w:rPr>
                              <w:t>DEHPの生殖毒性最新研究動向の評価： 化審法リスク評価（一次）評価Ⅱにおけるキースタディになりうる文献とは？</w:t>
                            </w:r>
                          </w:p>
                          <w:p w14:paraId="039B18BB" w14:textId="77777777" w:rsidR="009A3BFF" w:rsidRPr="00884C1F" w:rsidRDefault="009A3B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964E2" id="Text Box 2" o:spid="_x0000_s1027" type="#_x0000_t202" style="position:absolute;left:0;text-align:left;margin-left:.55pt;margin-top:-40.3pt;width:494.4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">
                <v:textbox>
                  <w:txbxContent>
                    <w:p w14:paraId="3C1B6FC1" w14:textId="178B410C" w:rsidR="009A3BFF" w:rsidRPr="005D01A2" w:rsidRDefault="00420FCC" w:rsidP="00884C1F">
                      <w:pPr>
                        <w:rPr>
                          <w:rFonts w:ascii="ＭＳ 明朝" w:hAnsi="ＭＳ 明朝"/>
                          <w:szCs w:val="21"/>
                        </w:rPr>
                      </w:pPr>
                      <w:r>
                        <w:rPr>
                          <w:rFonts w:ascii="ＭＳ 明朝" w:hAnsi="ＭＳ 明朝" w:hint="eastAsia"/>
                          <w:szCs w:val="21"/>
                        </w:rPr>
                        <w:t>DEHPの生殖毒性最新研究動向の評価： 化審法リスク評価（一次）評価Ⅱにおけるキースタディになりうる文献とは？</w:t>
                      </w:r>
                    </w:p>
                    <w:p w14:paraId="039B18BB" w14:textId="77777777" w:rsidR="009A3BFF" w:rsidRPr="00884C1F" w:rsidRDefault="009A3BFF"/>
                  </w:txbxContent>
                </v:textbox>
              </v:shape>
            </w:pict>
          </mc:Fallback>
        </mc:AlternateContent>
      </w:r>
      <w:r w:rsidR="0062324E" w:rsidRPr="002D2AD4">
        <w:rPr>
          <w:rFonts w:ascii="ＭＳ 明朝" w:hAnsi="ＭＳ 明朝" w:hint="eastAsia"/>
          <w:szCs w:val="21"/>
        </w:rPr>
        <w:t>．はじめに</w:t>
      </w:r>
    </w:p>
    <w:p w14:paraId="14219413" w14:textId="73F948B9" w:rsidR="005C1D2C" w:rsidRPr="003504A9" w:rsidRDefault="004D5A8C" w:rsidP="0062324E">
      <w:pPr>
        <w:ind w:firstLineChars="100" w:firstLine="192"/>
        <w:rPr>
          <w:rFonts w:ascii="ＭＳ 明朝" w:hAnsi="ＭＳ 明朝"/>
          <w:szCs w:val="21"/>
        </w:rPr>
      </w:pPr>
      <w:r w:rsidRPr="003504A9">
        <w:rPr>
          <w:rFonts w:ascii="ＭＳ 明朝" w:hAnsi="ＭＳ 明朝" w:hint="eastAsia"/>
          <w:szCs w:val="21"/>
        </w:rPr>
        <w:t>当</w:t>
      </w:r>
      <w:r w:rsidR="0006012E" w:rsidRPr="003504A9">
        <w:rPr>
          <w:rFonts w:ascii="ＭＳ 明朝" w:hAnsi="ＭＳ 明朝" w:hint="eastAsia"/>
          <w:szCs w:val="21"/>
        </w:rPr>
        <w:t>工業会</w:t>
      </w:r>
      <w:r w:rsidRPr="003504A9">
        <w:rPr>
          <w:rFonts w:ascii="ＭＳ 明朝" w:hAnsi="ＭＳ 明朝" w:hint="eastAsia"/>
          <w:szCs w:val="21"/>
        </w:rPr>
        <w:t>（以下、JPIAと記載します）</w:t>
      </w:r>
      <w:r w:rsidR="0006012E" w:rsidRPr="003504A9">
        <w:rPr>
          <w:rFonts w:ascii="ＭＳ 明朝" w:hAnsi="ＭＳ 明朝" w:hint="eastAsia"/>
          <w:szCs w:val="21"/>
        </w:rPr>
        <w:t>では</w:t>
      </w:r>
      <w:r w:rsidR="004958D6" w:rsidRPr="003504A9">
        <w:rPr>
          <w:rFonts w:ascii="ＭＳ 明朝" w:hAnsi="ＭＳ 明朝" w:hint="eastAsia"/>
          <w:szCs w:val="21"/>
        </w:rPr>
        <w:t>、化審法におけるDEHPのリスク評価の状況</w:t>
      </w:r>
      <w:r w:rsidR="0094302D" w:rsidRPr="003504A9">
        <w:rPr>
          <w:rFonts w:ascii="ＭＳ 明朝" w:hAnsi="ＭＳ 明朝" w:hint="eastAsia"/>
          <w:szCs w:val="21"/>
        </w:rPr>
        <w:t>を</w:t>
      </w:r>
      <w:r w:rsidR="002067DA" w:rsidRPr="003504A9">
        <w:rPr>
          <w:rFonts w:ascii="ＭＳ 明朝" w:hAnsi="ＭＳ 明朝" w:hint="eastAsia"/>
          <w:szCs w:val="21"/>
        </w:rPr>
        <w:t>継続的に</w:t>
      </w:r>
      <w:r w:rsidR="0094302D" w:rsidRPr="003504A9">
        <w:rPr>
          <w:rFonts w:ascii="ＭＳ 明朝" w:hAnsi="ＭＳ 明朝" w:hint="eastAsia"/>
          <w:szCs w:val="21"/>
        </w:rPr>
        <w:t>把握し</w:t>
      </w:r>
      <w:r w:rsidR="006C6182" w:rsidRPr="003504A9">
        <w:rPr>
          <w:rFonts w:ascii="ＭＳ 明朝" w:hAnsi="ＭＳ 明朝" w:hint="eastAsia"/>
          <w:szCs w:val="21"/>
        </w:rPr>
        <w:t>、３省によるリスク評価の進捗に合わせて、調査、活動を行って</w:t>
      </w:r>
      <w:r w:rsidR="008D2F10" w:rsidRPr="003504A9">
        <w:rPr>
          <w:rFonts w:ascii="ＭＳ 明朝" w:hAnsi="ＭＳ 明朝" w:hint="eastAsia"/>
          <w:szCs w:val="21"/>
        </w:rPr>
        <w:t>い</w:t>
      </w:r>
      <w:r w:rsidR="00CE3472" w:rsidRPr="003504A9">
        <w:rPr>
          <w:rFonts w:ascii="ＭＳ 明朝" w:hAnsi="ＭＳ 明朝" w:hint="eastAsia"/>
          <w:szCs w:val="21"/>
        </w:rPr>
        <w:t>ます。</w:t>
      </w:r>
      <w:r w:rsidR="004D0C5C" w:rsidRPr="003504A9">
        <w:rPr>
          <w:rFonts w:ascii="ＭＳ 明朝" w:hAnsi="ＭＳ 明朝" w:hint="eastAsia"/>
          <w:szCs w:val="21"/>
        </w:rPr>
        <w:t>本年（2024年）</w:t>
      </w:r>
      <w:r w:rsidR="00CE3472" w:rsidRPr="003504A9">
        <w:rPr>
          <w:rFonts w:ascii="ＭＳ 明朝" w:hAnsi="ＭＳ 明朝" w:hint="eastAsia"/>
          <w:szCs w:val="21"/>
        </w:rPr>
        <w:t>の4月</w:t>
      </w:r>
      <w:r w:rsidR="004D0C5C" w:rsidRPr="003504A9">
        <w:rPr>
          <w:rFonts w:ascii="ＭＳ 明朝" w:hAnsi="ＭＳ 明朝" w:hint="eastAsia"/>
          <w:szCs w:val="21"/>
        </w:rPr>
        <w:t>にDEHPのリスク評価を2026年度</w:t>
      </w:r>
      <w:r w:rsidR="00CD1842" w:rsidRPr="003504A9">
        <w:rPr>
          <w:rFonts w:ascii="ＭＳ 明朝" w:hAnsi="ＭＳ 明朝" w:hint="eastAsia"/>
          <w:szCs w:val="21"/>
        </w:rPr>
        <w:t>（</w:t>
      </w:r>
      <w:r w:rsidR="008D2F10" w:rsidRPr="003504A9">
        <w:rPr>
          <w:rFonts w:ascii="ＭＳ 明朝" w:hAnsi="ＭＳ 明朝" w:hint="eastAsia"/>
          <w:szCs w:val="21"/>
        </w:rPr>
        <w:t>さらに</w:t>
      </w:r>
      <w:r w:rsidR="00CD1842" w:rsidRPr="003504A9">
        <w:rPr>
          <w:rFonts w:ascii="ＭＳ 明朝" w:hAnsi="ＭＳ 明朝" w:hint="eastAsia"/>
          <w:szCs w:val="21"/>
        </w:rPr>
        <w:t>延期される可能性あり）に実施することが公表され</w:t>
      </w:r>
      <w:r w:rsidR="00CE3472" w:rsidRPr="003504A9">
        <w:rPr>
          <w:rFonts w:ascii="ＭＳ 明朝" w:hAnsi="ＭＳ 明朝" w:hint="eastAsia"/>
          <w:szCs w:val="21"/>
        </w:rPr>
        <w:t>ました</w:t>
      </w:r>
      <w:r w:rsidR="00526877" w:rsidRPr="00526877">
        <w:rPr>
          <w:rFonts w:ascii="ＭＳ 明朝" w:hAnsi="ＭＳ 明朝" w:hint="eastAsia"/>
          <w:szCs w:val="21"/>
          <w:vertAlign w:val="superscript"/>
        </w:rPr>
        <w:t>1)</w:t>
      </w:r>
      <w:r w:rsidR="00CE3472" w:rsidRPr="003504A9">
        <w:rPr>
          <w:rFonts w:ascii="ＭＳ 明朝" w:hAnsi="ＭＳ 明朝" w:hint="eastAsia"/>
          <w:szCs w:val="21"/>
        </w:rPr>
        <w:t>。この動きに合わせてタイムリーな意見提供ができるよう、JPIAでは</w:t>
      </w:r>
      <w:r w:rsidR="008D2F10" w:rsidRPr="003504A9">
        <w:rPr>
          <w:rFonts w:ascii="ＭＳ 明朝" w:hAnsi="ＭＳ 明朝" w:hint="eastAsia"/>
          <w:szCs w:val="21"/>
        </w:rPr>
        <w:t>調査</w:t>
      </w:r>
      <w:r w:rsidR="00CE3472" w:rsidRPr="003504A9">
        <w:rPr>
          <w:rFonts w:ascii="ＭＳ 明朝" w:hAnsi="ＭＳ 明朝" w:hint="eastAsia"/>
          <w:szCs w:val="21"/>
        </w:rPr>
        <w:t>活動を行ってきています。</w:t>
      </w:r>
    </w:p>
    <w:p w14:paraId="54AAE564" w14:textId="77777777" w:rsidR="00C01025" w:rsidRDefault="00C01025" w:rsidP="0062324E">
      <w:pPr>
        <w:ind w:firstLineChars="100" w:firstLine="192"/>
        <w:rPr>
          <w:rFonts w:ascii="Arial" w:hAnsi="Arial" w:cs="Arial"/>
          <w:color w:val="202124"/>
          <w:shd w:val="clear" w:color="auto" w:fill="FFFFFF"/>
        </w:rPr>
      </w:pPr>
    </w:p>
    <w:p w14:paraId="454491AC" w14:textId="77777777" w:rsidR="00B277FA" w:rsidRPr="009153BE" w:rsidRDefault="00B277FA" w:rsidP="0062324E">
      <w:pPr>
        <w:ind w:firstLineChars="100" w:firstLine="192"/>
        <w:rPr>
          <w:rFonts w:ascii="Arial" w:hAnsi="Arial" w:cs="Arial"/>
          <w:color w:val="202124"/>
          <w:shd w:val="clear" w:color="auto" w:fill="FFFFFF"/>
        </w:rPr>
      </w:pPr>
    </w:p>
    <w:p w14:paraId="184C7DA2" w14:textId="356C5408" w:rsidR="000E3929" w:rsidRDefault="000E3929" w:rsidP="000E3929">
      <w:pPr>
        <w:rPr>
          <w:rFonts w:ascii="ＭＳ 明朝" w:hAnsi="ＭＳ 明朝"/>
          <w:szCs w:val="21"/>
        </w:rPr>
      </w:pPr>
      <w:r w:rsidRPr="002D2AD4">
        <w:rPr>
          <w:rFonts w:ascii="ＭＳ 明朝" w:hAnsi="ＭＳ 明朝" w:hint="eastAsia"/>
          <w:szCs w:val="21"/>
        </w:rPr>
        <w:t>２</w:t>
      </w:r>
      <w:r>
        <w:rPr>
          <w:rFonts w:ascii="ＭＳ 明朝" w:hAnsi="ＭＳ 明朝" w:hint="eastAsia"/>
          <w:szCs w:val="21"/>
        </w:rPr>
        <w:t>．化審法におけるリスク評価について</w:t>
      </w:r>
    </w:p>
    <w:p w14:paraId="764B6C35" w14:textId="6C99406D" w:rsidR="000E3929" w:rsidRDefault="00A433E4" w:rsidP="00A433E4">
      <w:pPr>
        <w:ind w:firstLineChars="100" w:firstLine="192"/>
        <w:rPr>
          <w:rFonts w:ascii="ＭＳ 明朝" w:hAnsi="ＭＳ 明朝"/>
          <w:szCs w:val="21"/>
        </w:rPr>
      </w:pPr>
      <w:r>
        <w:rPr>
          <w:rFonts w:ascii="ＭＳ 明朝" w:hAnsi="ＭＳ 明朝" w:hint="eastAsia"/>
          <w:szCs w:val="21"/>
        </w:rPr>
        <w:t>化審法</w:t>
      </w:r>
      <w:r w:rsidR="00D0409E">
        <w:rPr>
          <w:rFonts w:ascii="ＭＳ 明朝" w:hAnsi="ＭＳ 明朝" w:hint="eastAsia"/>
          <w:szCs w:val="21"/>
        </w:rPr>
        <w:t>では2011年の改正を受けてリスクの観点から動植物への影響に着目した審査・規制</w:t>
      </w:r>
      <w:r w:rsidR="005F0EB0">
        <w:rPr>
          <w:rFonts w:ascii="ＭＳ 明朝" w:hAnsi="ＭＳ 明朝" w:hint="eastAsia"/>
          <w:szCs w:val="21"/>
        </w:rPr>
        <w:t>や環境中への排出を考慮した審査制度が新たに</w:t>
      </w:r>
      <w:r w:rsidR="00D0409E">
        <w:rPr>
          <w:rFonts w:ascii="ＭＳ 明朝" w:hAnsi="ＭＳ 明朝" w:hint="eastAsia"/>
          <w:szCs w:val="21"/>
        </w:rPr>
        <w:t>導入されています。</w:t>
      </w:r>
    </w:p>
    <w:p w14:paraId="75B75CAA" w14:textId="0AFBAB8B" w:rsidR="004B18CE" w:rsidRDefault="00D253CB" w:rsidP="0085792B">
      <w:pPr>
        <w:ind w:firstLineChars="100" w:firstLine="192"/>
        <w:rPr>
          <w:rFonts w:ascii="ＭＳ 明朝" w:hAnsi="ＭＳ 明朝"/>
          <w:szCs w:val="21"/>
        </w:rPr>
      </w:pPr>
      <w:r>
        <w:rPr>
          <w:rFonts w:ascii="ＭＳ 明朝" w:hAnsi="ＭＳ 明朝" w:hint="eastAsia"/>
          <w:szCs w:val="21"/>
        </w:rPr>
        <w:t>リスク（有害性×ばく露）の観点から評価が進められ、</w:t>
      </w:r>
      <w:r w:rsidR="008D2F10">
        <w:rPr>
          <w:rFonts w:ascii="ＭＳ 明朝" w:hAnsi="ＭＳ 明朝" w:hint="eastAsia"/>
          <w:szCs w:val="21"/>
        </w:rPr>
        <w:t>リスク評価の流れは次の通りです。</w:t>
      </w:r>
      <w:r>
        <w:rPr>
          <w:rFonts w:ascii="ＭＳ 明朝" w:hAnsi="ＭＳ 明朝" w:hint="eastAsia"/>
          <w:szCs w:val="21"/>
        </w:rPr>
        <w:t>一般化学物質から優先的にリスク評価を行う</w:t>
      </w:r>
      <w:r w:rsidR="00B0105D">
        <w:rPr>
          <w:rFonts w:ascii="ＭＳ 明朝" w:hAnsi="ＭＳ 明朝" w:hint="eastAsia"/>
          <w:szCs w:val="21"/>
        </w:rPr>
        <w:t>ための物質を選び出すためのスクリーニングが行われ</w:t>
      </w:r>
      <w:r w:rsidR="008D2F10">
        <w:rPr>
          <w:rFonts w:ascii="ＭＳ 明朝" w:hAnsi="ＭＳ 明朝" w:hint="eastAsia"/>
          <w:szCs w:val="21"/>
        </w:rPr>
        <w:t>ます。</w:t>
      </w:r>
      <w:r w:rsidR="00B0105D">
        <w:rPr>
          <w:rFonts w:ascii="ＭＳ 明朝" w:hAnsi="ＭＳ 明朝" w:hint="eastAsia"/>
          <w:szCs w:val="21"/>
        </w:rPr>
        <w:t>評価基準に照らし合わせて</w:t>
      </w:r>
      <w:r w:rsidR="008D2F10">
        <w:rPr>
          <w:rFonts w:ascii="ＭＳ 明朝" w:hAnsi="ＭＳ 明朝" w:hint="eastAsia"/>
          <w:szCs w:val="21"/>
        </w:rPr>
        <w:t>判断され</w:t>
      </w:r>
      <w:r w:rsidR="00B0105D">
        <w:rPr>
          <w:rFonts w:ascii="ＭＳ 明朝" w:hAnsi="ＭＳ 明朝" w:hint="eastAsia"/>
          <w:szCs w:val="21"/>
        </w:rPr>
        <w:t>優先</w:t>
      </w:r>
      <w:r w:rsidR="008D2F10">
        <w:rPr>
          <w:rFonts w:ascii="ＭＳ 明朝" w:hAnsi="ＭＳ 明朝" w:hint="eastAsia"/>
          <w:szCs w:val="21"/>
        </w:rPr>
        <w:t>評価</w:t>
      </w:r>
      <w:r w:rsidR="00B0105D">
        <w:rPr>
          <w:rFonts w:ascii="ＭＳ 明朝" w:hAnsi="ＭＳ 明朝" w:hint="eastAsia"/>
          <w:szCs w:val="21"/>
        </w:rPr>
        <w:t>化学物質へ指定されています。優先</w:t>
      </w:r>
      <w:r w:rsidR="008D2F10">
        <w:rPr>
          <w:rFonts w:ascii="ＭＳ 明朝" w:hAnsi="ＭＳ 明朝" w:hint="eastAsia"/>
          <w:szCs w:val="21"/>
        </w:rPr>
        <w:t>評価</w:t>
      </w:r>
      <w:r w:rsidR="00B0105D">
        <w:rPr>
          <w:rFonts w:ascii="ＭＳ 明朝" w:hAnsi="ＭＳ 明朝" w:hint="eastAsia"/>
          <w:szCs w:val="21"/>
        </w:rPr>
        <w:t>化学物質に対しては、</w:t>
      </w:r>
      <w:r w:rsidR="008D2F10">
        <w:rPr>
          <w:rFonts w:ascii="ＭＳ 明朝" w:hAnsi="ＭＳ 明朝" w:hint="eastAsia"/>
          <w:szCs w:val="21"/>
        </w:rPr>
        <w:t>リスク評価（一次）が行われます。このステージは三段階に分けて実施されます。まず</w:t>
      </w:r>
      <w:r w:rsidR="00D50791">
        <w:rPr>
          <w:rFonts w:ascii="ＭＳ 明朝" w:hAnsi="ＭＳ 明朝" w:hint="eastAsia"/>
          <w:szCs w:val="21"/>
        </w:rPr>
        <w:t>リスク</w:t>
      </w:r>
      <w:r w:rsidR="008B2D0F">
        <w:rPr>
          <w:rFonts w:ascii="ＭＳ 明朝" w:hAnsi="ＭＳ 明朝" w:hint="eastAsia"/>
          <w:szCs w:val="21"/>
        </w:rPr>
        <w:t>評価Ⅰが行われ、第二種特定化学物質へ該当するか評価</w:t>
      </w:r>
      <w:r w:rsidR="008D2F10">
        <w:rPr>
          <w:rFonts w:ascii="ＭＳ 明朝" w:hAnsi="ＭＳ 明朝" w:hint="eastAsia"/>
          <w:szCs w:val="21"/>
        </w:rPr>
        <w:t>とその</w:t>
      </w:r>
      <w:r w:rsidR="008B2D0F">
        <w:rPr>
          <w:rFonts w:ascii="ＭＳ 明朝" w:hAnsi="ＭＳ 明朝" w:hint="eastAsia"/>
          <w:szCs w:val="21"/>
        </w:rPr>
        <w:t>審議の優先度が決められています。優先度はリスクの程度、詳細な有害性情報</w:t>
      </w:r>
      <w:r w:rsidR="008D2F10">
        <w:rPr>
          <w:rFonts w:ascii="ＭＳ 明朝" w:hAnsi="ＭＳ 明朝" w:hint="eastAsia"/>
          <w:szCs w:val="21"/>
        </w:rPr>
        <w:t>および</w:t>
      </w:r>
      <w:r w:rsidR="0085792B">
        <w:rPr>
          <w:rFonts w:ascii="ＭＳ 明朝" w:hAnsi="ＭＳ 明朝" w:hint="eastAsia"/>
          <w:szCs w:val="21"/>
        </w:rPr>
        <w:t>ばく露情報が必要かどうかに応じて</w:t>
      </w:r>
      <w:r w:rsidR="008D2F10">
        <w:rPr>
          <w:rFonts w:ascii="ＭＳ 明朝" w:hAnsi="ＭＳ 明朝" w:hint="eastAsia"/>
          <w:szCs w:val="21"/>
        </w:rPr>
        <w:t>検討会で</w:t>
      </w:r>
      <w:r w:rsidR="004B18CE">
        <w:rPr>
          <w:rFonts w:ascii="ＭＳ 明朝" w:hAnsi="ＭＳ 明朝" w:hint="eastAsia"/>
          <w:szCs w:val="21"/>
        </w:rPr>
        <w:t>決め</w:t>
      </w:r>
      <w:r w:rsidR="0085792B">
        <w:rPr>
          <w:rFonts w:ascii="ＭＳ 明朝" w:hAnsi="ＭＳ 明朝" w:hint="eastAsia"/>
          <w:szCs w:val="21"/>
        </w:rPr>
        <w:t>られ、</w:t>
      </w:r>
      <w:r w:rsidR="008D2F10">
        <w:rPr>
          <w:rFonts w:ascii="ＭＳ 明朝" w:hAnsi="ＭＳ 明朝" w:hint="eastAsia"/>
          <w:szCs w:val="21"/>
        </w:rPr>
        <w:t>優先度は</w:t>
      </w:r>
      <w:r w:rsidR="0085792B">
        <w:rPr>
          <w:rFonts w:ascii="ＭＳ 明朝" w:hAnsi="ＭＳ 明朝" w:hint="eastAsia"/>
          <w:szCs w:val="21"/>
        </w:rPr>
        <w:t>毎年更新されています。</w:t>
      </w:r>
    </w:p>
    <w:p w14:paraId="5B44AF95" w14:textId="6A7C4FD6" w:rsidR="00B51804" w:rsidRDefault="004B18CE" w:rsidP="00B51804">
      <w:pPr>
        <w:ind w:firstLineChars="100" w:firstLine="192"/>
        <w:rPr>
          <w:rFonts w:ascii="ＭＳ 明朝" w:hAnsi="ＭＳ 明朝"/>
          <w:szCs w:val="21"/>
        </w:rPr>
      </w:pPr>
      <w:r>
        <w:rPr>
          <w:rFonts w:ascii="ＭＳ 明朝" w:hAnsi="ＭＳ 明朝" w:hint="eastAsia"/>
          <w:szCs w:val="21"/>
        </w:rPr>
        <w:t>優先評価化学物質に対する</w:t>
      </w:r>
      <w:r w:rsidR="0085792B">
        <w:rPr>
          <w:rFonts w:ascii="ＭＳ 明朝" w:hAnsi="ＭＳ 明朝" w:hint="eastAsia"/>
          <w:szCs w:val="21"/>
        </w:rPr>
        <w:t>リスク評価</w:t>
      </w:r>
      <w:r w:rsidR="00D50791">
        <w:rPr>
          <w:rFonts w:ascii="ＭＳ 明朝" w:hAnsi="ＭＳ 明朝" w:hint="eastAsia"/>
          <w:szCs w:val="21"/>
        </w:rPr>
        <w:t>（一次）</w:t>
      </w:r>
      <w:r w:rsidR="0085792B">
        <w:rPr>
          <w:rFonts w:ascii="ＭＳ 明朝" w:hAnsi="ＭＳ 明朝" w:hint="eastAsia"/>
          <w:szCs w:val="21"/>
        </w:rPr>
        <w:t>は3段階に分け</w:t>
      </w:r>
      <w:r w:rsidR="00D50791">
        <w:rPr>
          <w:rFonts w:ascii="ＭＳ 明朝" w:hAnsi="ＭＳ 明朝" w:hint="eastAsia"/>
          <w:szCs w:val="21"/>
        </w:rPr>
        <w:t>て実施されます</w:t>
      </w:r>
      <w:r w:rsidR="00152F8B">
        <w:rPr>
          <w:rFonts w:ascii="ＭＳ 明朝" w:hAnsi="ＭＳ 明朝" w:hint="eastAsia"/>
          <w:szCs w:val="21"/>
        </w:rPr>
        <w:t>。</w:t>
      </w:r>
      <w:r w:rsidR="00D50791">
        <w:rPr>
          <w:rFonts w:ascii="ＭＳ 明朝" w:hAnsi="ＭＳ 明朝" w:hint="eastAsia"/>
          <w:szCs w:val="21"/>
        </w:rPr>
        <w:t>リスク</w:t>
      </w:r>
      <w:r w:rsidR="0069077E">
        <w:rPr>
          <w:rFonts w:ascii="ＭＳ 明朝" w:hAnsi="ＭＳ 明朝" w:hint="eastAsia"/>
          <w:szCs w:val="21"/>
        </w:rPr>
        <w:t>評価Ⅰでは、優先化学物質のリスク評価を行うための順位付けが行われています。</w:t>
      </w:r>
      <w:r w:rsidR="00B51804">
        <w:rPr>
          <w:rFonts w:ascii="ＭＳ 明朝" w:hAnsi="ＭＳ 明朝" w:hint="eastAsia"/>
          <w:szCs w:val="21"/>
        </w:rPr>
        <w:t>環境や人体への影響が懸念されるかどうかを判断するため、既存のデータや試験結果をもとに迅速にリスク</w:t>
      </w:r>
      <w:r w:rsidR="00D50791">
        <w:rPr>
          <w:rFonts w:ascii="ＭＳ 明朝" w:hAnsi="ＭＳ 明朝" w:hint="eastAsia"/>
          <w:szCs w:val="21"/>
        </w:rPr>
        <w:t>が</w:t>
      </w:r>
      <w:r w:rsidR="00B51804">
        <w:rPr>
          <w:rFonts w:ascii="ＭＳ 明朝" w:hAnsi="ＭＳ 明朝" w:hint="eastAsia"/>
          <w:szCs w:val="21"/>
        </w:rPr>
        <w:t>推定</w:t>
      </w:r>
      <w:r w:rsidR="00D50791">
        <w:rPr>
          <w:rFonts w:ascii="ＭＳ 明朝" w:hAnsi="ＭＳ 明朝" w:hint="eastAsia"/>
          <w:szCs w:val="21"/>
        </w:rPr>
        <w:t>され</w:t>
      </w:r>
      <w:r w:rsidR="00B51804">
        <w:rPr>
          <w:rFonts w:ascii="ＭＳ 明朝" w:hAnsi="ＭＳ 明朝" w:hint="eastAsia"/>
          <w:szCs w:val="21"/>
        </w:rPr>
        <w:t>ます。リスクが低いと判断されれば、さらに詳細な</w:t>
      </w:r>
      <w:r w:rsidR="00D50791">
        <w:rPr>
          <w:rFonts w:ascii="ＭＳ 明朝" w:hAnsi="ＭＳ 明朝" w:hint="eastAsia"/>
          <w:szCs w:val="21"/>
        </w:rPr>
        <w:t>リスク</w:t>
      </w:r>
      <w:r w:rsidR="00B51804">
        <w:rPr>
          <w:rFonts w:ascii="ＭＳ 明朝" w:hAnsi="ＭＳ 明朝" w:hint="eastAsia"/>
          <w:szCs w:val="21"/>
        </w:rPr>
        <w:t>評価Ⅱへ進むことはなく、規制対象外となる一般化学物質となることもあります。</w:t>
      </w:r>
    </w:p>
    <w:p w14:paraId="163BE1A2" w14:textId="406CF381" w:rsidR="00B51804" w:rsidRDefault="00D50791" w:rsidP="00003AB7">
      <w:pPr>
        <w:ind w:firstLineChars="100" w:firstLine="192"/>
        <w:rPr>
          <w:rFonts w:ascii="ＭＳ 明朝" w:hAnsi="ＭＳ 明朝"/>
          <w:szCs w:val="21"/>
        </w:rPr>
      </w:pPr>
      <w:r>
        <w:rPr>
          <w:rFonts w:ascii="ＭＳ 明朝" w:hAnsi="ＭＳ 明朝" w:hint="eastAsia"/>
          <w:szCs w:val="21"/>
        </w:rPr>
        <w:t>リスク</w:t>
      </w:r>
      <w:r w:rsidR="009B7AD2">
        <w:rPr>
          <w:rFonts w:ascii="ＭＳ 明朝" w:hAnsi="ＭＳ 明朝" w:hint="eastAsia"/>
          <w:szCs w:val="21"/>
        </w:rPr>
        <w:t>評価Ⅱでは、</w:t>
      </w:r>
      <w:r>
        <w:rPr>
          <w:rFonts w:ascii="ＭＳ 明朝" w:hAnsi="ＭＳ 明朝" w:hint="eastAsia"/>
          <w:szCs w:val="21"/>
        </w:rPr>
        <w:t>リスク</w:t>
      </w:r>
      <w:r w:rsidR="009B7AD2">
        <w:rPr>
          <w:rFonts w:ascii="ＭＳ 明朝" w:hAnsi="ＭＳ 明朝" w:hint="eastAsia"/>
          <w:szCs w:val="21"/>
        </w:rPr>
        <w:t>評価Ⅰより詳細な評価を行う段階です。</w:t>
      </w:r>
      <w:r w:rsidR="00306FEA">
        <w:rPr>
          <w:rFonts w:ascii="ＭＳ 明朝" w:hAnsi="ＭＳ 明朝" w:hint="eastAsia"/>
          <w:szCs w:val="21"/>
        </w:rPr>
        <w:t>そのリスクが実際に人の健康や環境に及ぼす影響を具体的に見極めるため、さらなるデータの収集が行われます。化学物質の環境中の分布や移動経路、人や生態の動植物がどの程度その物質にばく露されるのかが重要な要素となります。具体的には、</w:t>
      </w:r>
      <w:r w:rsidR="00D62000">
        <w:rPr>
          <w:rFonts w:ascii="ＭＳ 明朝" w:hAnsi="ＭＳ 明朝" w:hint="eastAsia"/>
          <w:szCs w:val="21"/>
        </w:rPr>
        <w:t>モニタリングデータ</w:t>
      </w:r>
      <w:r w:rsidR="00306FEA">
        <w:rPr>
          <w:rFonts w:ascii="ＭＳ 明朝" w:hAnsi="ＭＳ 明朝" w:hint="eastAsia"/>
          <w:szCs w:val="21"/>
        </w:rPr>
        <w:t>、排出量からの距離、ばく露の期間や経路（呼吸、経口、皮膚接触など）を考慮し、ばく露量を推定します。さらに、動物実験や疫学データなどをもとにして、健康や環境に与える影響の重篤度やその発生確率も評価します。これらの情報を総合して、評価対象としている物質</w:t>
      </w:r>
      <w:r w:rsidR="00306FEA">
        <w:rPr>
          <w:rFonts w:ascii="ＭＳ 明朝" w:hAnsi="ＭＳ 明朝" w:hint="eastAsia"/>
          <w:szCs w:val="21"/>
        </w:rPr>
        <w:t>によってどの程度のリスクをもたらすかを定量的に評価し、その結果に基づいて規制措置が必要かどうか</w:t>
      </w:r>
      <w:r w:rsidR="0069077E">
        <w:rPr>
          <w:rFonts w:ascii="ＭＳ 明朝" w:hAnsi="ＭＳ 明朝" w:hint="eastAsia"/>
          <w:szCs w:val="21"/>
        </w:rPr>
        <w:t>を</w:t>
      </w:r>
      <w:r w:rsidR="00306FEA">
        <w:rPr>
          <w:rFonts w:ascii="ＭＳ 明朝" w:hAnsi="ＭＳ 明朝" w:hint="eastAsia"/>
          <w:szCs w:val="21"/>
        </w:rPr>
        <w:t>判断されます。</w:t>
      </w:r>
      <w:r w:rsidR="0069077E">
        <w:rPr>
          <w:rFonts w:ascii="ＭＳ 明朝" w:hAnsi="ＭＳ 明朝" w:hint="eastAsia"/>
          <w:szCs w:val="21"/>
        </w:rPr>
        <w:t>リスクが高いと判断されると使用制限などの規制措置が取られることになりますが、リスクが低いと判断されれば規制対象から外れる可能性があります。</w:t>
      </w:r>
    </w:p>
    <w:p w14:paraId="7A778B3B" w14:textId="3AF8D1DB" w:rsidR="00D50791" w:rsidRPr="0069077E" w:rsidRDefault="00D50791" w:rsidP="00003AB7">
      <w:pPr>
        <w:ind w:firstLineChars="100" w:firstLine="192"/>
        <w:rPr>
          <w:rFonts w:ascii="ＭＳ 明朝" w:hAnsi="ＭＳ 明朝"/>
          <w:szCs w:val="21"/>
        </w:rPr>
      </w:pPr>
      <w:r>
        <w:rPr>
          <w:rFonts w:ascii="ＭＳ 明朝" w:hAnsi="ＭＳ 明朝" w:hint="eastAsia"/>
          <w:szCs w:val="21"/>
        </w:rPr>
        <w:t>リスク評価Ⅲ</w:t>
      </w:r>
      <w:r w:rsidR="00D62000">
        <w:rPr>
          <w:rFonts w:ascii="ＭＳ 明朝" w:hAnsi="ＭＳ 明朝" w:hint="eastAsia"/>
          <w:szCs w:val="21"/>
        </w:rPr>
        <w:t>で</w:t>
      </w:r>
      <w:r>
        <w:rPr>
          <w:rFonts w:ascii="ＭＳ 明朝" w:hAnsi="ＭＳ 明朝" w:hint="eastAsia"/>
          <w:szCs w:val="21"/>
        </w:rPr>
        <w:t>は</w:t>
      </w:r>
      <w:r w:rsidR="00D62000">
        <w:rPr>
          <w:rFonts w:ascii="ＭＳ 明朝" w:hAnsi="ＭＳ 明朝" w:hint="eastAsia"/>
          <w:szCs w:val="21"/>
        </w:rPr>
        <w:t>、リスク評価Ⅱでは規制措置が必要かどうかを判断できない場合に実施されます。そのためさらに詳細な情報を得るため、事業者から取り扱いの状況を入手したり、環境省による追加のモニタリングの実施結果をもとにしてリスク評価が実施されます。リスクが高いと判断されると使用制限などの規制措置が取られることになりますが、リスクが低いと判断されれば規制対象から外れる可能性があります。</w:t>
      </w:r>
    </w:p>
    <w:p w14:paraId="472C7ADE" w14:textId="326642D1" w:rsidR="00A74AE1" w:rsidRDefault="00A74AE1" w:rsidP="00A74AE1">
      <w:pPr>
        <w:ind w:firstLineChars="100" w:firstLine="192"/>
        <w:rPr>
          <w:rFonts w:ascii="ＭＳ 明朝" w:hAnsi="ＭＳ 明朝"/>
          <w:szCs w:val="21"/>
        </w:rPr>
      </w:pPr>
    </w:p>
    <w:p w14:paraId="67C32B29" w14:textId="2991E65A" w:rsidR="00D50791" w:rsidRDefault="00D50791" w:rsidP="00A74AE1">
      <w:pPr>
        <w:ind w:firstLineChars="100" w:firstLine="192"/>
        <w:rPr>
          <w:rFonts w:ascii="ＭＳ 明朝" w:hAnsi="ＭＳ 明朝"/>
          <w:szCs w:val="21"/>
        </w:rPr>
      </w:pPr>
      <w:r>
        <w:rPr>
          <w:rFonts w:ascii="ＭＳ 明朝" w:hAnsi="ＭＳ 明朝" w:hint="eastAsia"/>
          <w:szCs w:val="21"/>
        </w:rPr>
        <w:t>図1　化審法におけるリスク評価の流れ</w:t>
      </w:r>
    </w:p>
    <w:p w14:paraId="15FB6571" w14:textId="5F77F495" w:rsidR="00CE3472" w:rsidRDefault="00BA7F28" w:rsidP="00BA7F28">
      <w:pPr>
        <w:rPr>
          <w:rFonts w:ascii="ＭＳ 明朝" w:hAnsi="ＭＳ 明朝"/>
          <w:szCs w:val="21"/>
        </w:rPr>
      </w:pPr>
      <w:r>
        <w:rPr>
          <w:rFonts w:ascii="ＭＳ 明朝" w:hAnsi="ＭＳ 明朝" w:cs="Arial"/>
          <w:bCs/>
          <w:noProof/>
          <w:spacing w:val="0"/>
          <w:kern w:val="24"/>
          <w:sz w:val="16"/>
          <w:szCs w:val="16"/>
        </w:rPr>
        <w:drawing>
          <wp:inline distT="0" distB="0" distL="0" distR="0" wp14:anchorId="17EEEF7E" wp14:editId="43FC67E5">
            <wp:extent cx="3052445" cy="1837038"/>
            <wp:effectExtent l="0" t="0" r="0" b="0"/>
            <wp:docPr id="3909358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52445" cy="1837038"/>
                    </a:xfrm>
                    <a:prstGeom prst="rect">
                      <a:avLst/>
                    </a:prstGeom>
                    <a:noFill/>
                    <a:ln>
                      <a:noFill/>
                    </a:ln>
                  </pic:spPr>
                </pic:pic>
              </a:graphicData>
            </a:graphic>
          </wp:inline>
        </w:drawing>
      </w:r>
    </w:p>
    <w:p w14:paraId="57EF616B" w14:textId="77777777" w:rsidR="002F38C3" w:rsidRDefault="002F38C3" w:rsidP="00A74AE1">
      <w:pPr>
        <w:ind w:firstLineChars="100" w:firstLine="192"/>
        <w:rPr>
          <w:rFonts w:ascii="ＭＳ 明朝" w:hAnsi="ＭＳ 明朝"/>
          <w:szCs w:val="21"/>
        </w:rPr>
      </w:pPr>
    </w:p>
    <w:p w14:paraId="77BE5924" w14:textId="3BB306EA" w:rsidR="00E65678" w:rsidRDefault="009B7049" w:rsidP="00E65678">
      <w:pPr>
        <w:ind w:firstLineChars="100" w:firstLine="192"/>
        <w:rPr>
          <w:rFonts w:ascii="ＭＳ 明朝" w:hAnsi="ＭＳ 明朝"/>
          <w:szCs w:val="21"/>
        </w:rPr>
      </w:pPr>
      <w:r>
        <w:rPr>
          <w:rFonts w:ascii="ＭＳ 明朝" w:hAnsi="ＭＳ 明朝" w:hint="eastAsia"/>
          <w:szCs w:val="21"/>
        </w:rPr>
        <w:t>優先評価化学物質</w:t>
      </w:r>
      <w:r w:rsidR="00D50791">
        <w:rPr>
          <w:rFonts w:ascii="ＭＳ 明朝" w:hAnsi="ＭＳ 明朝" w:hint="eastAsia"/>
          <w:szCs w:val="21"/>
        </w:rPr>
        <w:t>には</w:t>
      </w:r>
      <w:r w:rsidR="000E68E3">
        <w:rPr>
          <w:rFonts w:ascii="ＭＳ 明朝" w:hAnsi="ＭＳ 明朝" w:hint="eastAsia"/>
          <w:szCs w:val="21"/>
        </w:rPr>
        <w:t>累計で285物質</w:t>
      </w:r>
      <w:r w:rsidR="00D50791">
        <w:rPr>
          <w:rFonts w:ascii="ＭＳ 明朝" w:hAnsi="ＭＳ 明朝" w:hint="eastAsia"/>
          <w:szCs w:val="21"/>
        </w:rPr>
        <w:t>が指定されています</w:t>
      </w:r>
      <w:r w:rsidR="000E68E3">
        <w:rPr>
          <w:rFonts w:ascii="ＭＳ 明朝" w:hAnsi="ＭＳ 明朝" w:hint="eastAsia"/>
          <w:szCs w:val="21"/>
        </w:rPr>
        <w:t>。このうち、2024年4月1日時点で優先評価化学物質へ指定されている物質数は225物質で、優先評価化学物質の指定が取り消された物質数は60物質あります。</w:t>
      </w:r>
      <w:r w:rsidR="00046816">
        <w:rPr>
          <w:rFonts w:ascii="ＭＳ 明朝" w:hAnsi="ＭＳ 明朝" w:hint="eastAsia"/>
          <w:szCs w:val="21"/>
        </w:rPr>
        <w:t>また、現状の優先評価化学物質の評価のステージは以下の通りとなっています。</w:t>
      </w:r>
      <w:r w:rsidR="00335297">
        <w:rPr>
          <w:rFonts w:ascii="ＭＳ 明朝" w:hAnsi="ＭＳ 明朝" w:hint="eastAsia"/>
          <w:szCs w:val="21"/>
        </w:rPr>
        <w:t>リスク評価（一次）</w:t>
      </w:r>
      <w:r w:rsidR="00D50791">
        <w:rPr>
          <w:rFonts w:ascii="ＭＳ 明朝" w:hAnsi="ＭＳ 明朝" w:hint="eastAsia"/>
          <w:szCs w:val="21"/>
        </w:rPr>
        <w:t>リスク</w:t>
      </w:r>
      <w:r w:rsidR="00335297">
        <w:rPr>
          <w:rFonts w:ascii="ＭＳ 明朝" w:hAnsi="ＭＳ 明朝" w:hint="eastAsia"/>
          <w:szCs w:val="21"/>
        </w:rPr>
        <w:t>評価Ⅱにおいては人健康影響で18物質が指定されている状況です。このうち、2024年</w:t>
      </w:r>
      <w:r w:rsidR="00E65678">
        <w:rPr>
          <w:rFonts w:ascii="ＭＳ 明朝" w:hAnsi="ＭＳ 明朝" w:hint="eastAsia"/>
          <w:szCs w:val="21"/>
        </w:rPr>
        <w:t>度</w:t>
      </w:r>
      <w:r w:rsidR="00335297">
        <w:rPr>
          <w:rFonts w:ascii="ＭＳ 明朝" w:hAnsi="ＭＳ 明朝" w:hint="eastAsia"/>
          <w:szCs w:val="21"/>
        </w:rPr>
        <w:t>にリスク評価Ⅱを行うのは2物質、2025年</w:t>
      </w:r>
      <w:r w:rsidR="00E65678">
        <w:rPr>
          <w:rFonts w:ascii="ＭＳ 明朝" w:hAnsi="ＭＳ 明朝" w:hint="eastAsia"/>
          <w:szCs w:val="21"/>
        </w:rPr>
        <w:t>度</w:t>
      </w:r>
      <w:r w:rsidR="00335297">
        <w:rPr>
          <w:rFonts w:ascii="ＭＳ 明朝" w:hAnsi="ＭＳ 明朝" w:hint="eastAsia"/>
          <w:szCs w:val="21"/>
        </w:rPr>
        <w:t>は</w:t>
      </w:r>
      <w:r w:rsidR="00E65678">
        <w:rPr>
          <w:rFonts w:ascii="ＭＳ 明朝" w:hAnsi="ＭＳ 明朝" w:hint="eastAsia"/>
          <w:szCs w:val="21"/>
        </w:rPr>
        <w:t>0物質</w:t>
      </w:r>
      <w:r w:rsidR="008559B0">
        <w:rPr>
          <w:rFonts w:ascii="ＭＳ 明朝" w:hAnsi="ＭＳ 明朝" w:hint="eastAsia"/>
          <w:szCs w:val="21"/>
        </w:rPr>
        <w:t>（2025年は生態影響での評価のみ）</w:t>
      </w:r>
      <w:r w:rsidR="00E65678">
        <w:rPr>
          <w:rFonts w:ascii="ＭＳ 明朝" w:hAnsi="ＭＳ 明朝" w:hint="eastAsia"/>
          <w:szCs w:val="21"/>
        </w:rPr>
        <w:t>、2026年度以降は8物質（DEHPを含む）、評価を行う年が決まっていない物質は8物質あります。</w:t>
      </w:r>
    </w:p>
    <w:p w14:paraId="5BF181C2" w14:textId="77777777" w:rsidR="00C01025" w:rsidRDefault="00C01025" w:rsidP="00E65678">
      <w:pPr>
        <w:ind w:firstLineChars="100" w:firstLine="192"/>
        <w:rPr>
          <w:rFonts w:ascii="ＭＳ 明朝" w:hAnsi="ＭＳ 明朝"/>
          <w:szCs w:val="21"/>
        </w:rPr>
      </w:pPr>
    </w:p>
    <w:p w14:paraId="73830BF9" w14:textId="5DB7BF4F" w:rsidR="009B7049" w:rsidRDefault="00C01025" w:rsidP="009B7049">
      <w:pPr>
        <w:ind w:firstLineChars="100" w:firstLine="192"/>
        <w:rPr>
          <w:rFonts w:ascii="ＭＳ 明朝" w:hAnsi="ＭＳ 明朝"/>
          <w:szCs w:val="21"/>
        </w:rPr>
      </w:pPr>
      <w:r>
        <w:rPr>
          <w:rFonts w:ascii="ＭＳ 明朝" w:hAnsi="ＭＳ 明朝" w:hint="eastAsia"/>
          <w:szCs w:val="21"/>
        </w:rPr>
        <w:t>表１ 優先評価化学物質の評価のステージ</w:t>
      </w:r>
    </w:p>
    <w:p w14:paraId="08F74F52" w14:textId="306790D6" w:rsidR="009B7049" w:rsidRPr="009B7049" w:rsidRDefault="00926356" w:rsidP="009B7049">
      <w:pPr>
        <w:ind w:firstLineChars="100" w:firstLine="152"/>
        <w:rPr>
          <w:rFonts w:ascii="ＭＳ 明朝" w:hAnsi="ＭＳ 明朝"/>
          <w:szCs w:val="21"/>
        </w:rPr>
      </w:pPr>
      <w:r w:rsidRPr="00926356">
        <w:rPr>
          <w:rFonts w:ascii="ＭＳ 明朝" w:hAnsi="ＭＳ 明朝"/>
          <w:noProof/>
          <w:sz w:val="16"/>
          <w:szCs w:val="16"/>
        </w:rPr>
        <w:drawing>
          <wp:inline distT="0" distB="0" distL="0" distR="0" wp14:anchorId="102C3909" wp14:editId="1197E4FC">
            <wp:extent cx="3052445" cy="848360"/>
            <wp:effectExtent l="0" t="0" r="0" b="8890"/>
            <wp:docPr id="2171657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65710" name=""/>
                    <pic:cNvPicPr/>
                  </pic:nvPicPr>
                  <pic:blipFill>
                    <a:blip r:embed="rId8"/>
                    <a:stretch>
                      <a:fillRect/>
                    </a:stretch>
                  </pic:blipFill>
                  <pic:spPr>
                    <a:xfrm>
                      <a:off x="0" y="0"/>
                      <a:ext cx="3052445" cy="848360"/>
                    </a:xfrm>
                    <a:prstGeom prst="rect">
                      <a:avLst/>
                    </a:prstGeom>
                  </pic:spPr>
                </pic:pic>
              </a:graphicData>
            </a:graphic>
          </wp:inline>
        </w:drawing>
      </w:r>
    </w:p>
    <w:p w14:paraId="179277B3" w14:textId="5EB5B4C0" w:rsidR="009B7049" w:rsidRDefault="008E5F67" w:rsidP="008E5F67">
      <w:pPr>
        <w:ind w:leftChars="99" w:left="390" w:hangingChars="104" w:hanging="200"/>
        <w:rPr>
          <w:rFonts w:ascii="ＭＳ 明朝" w:hAnsi="ＭＳ 明朝"/>
          <w:szCs w:val="21"/>
        </w:rPr>
      </w:pPr>
      <w:r>
        <w:rPr>
          <w:rFonts w:ascii="ＭＳ 明朝" w:hAnsi="ＭＳ 明朝" w:hint="eastAsia"/>
          <w:szCs w:val="21"/>
        </w:rPr>
        <w:t>（38物質は人健康影響、生態影響の両方で優先評価化学物質へ指定されています）</w:t>
      </w:r>
    </w:p>
    <w:p w14:paraId="5103A559" w14:textId="4303E17E" w:rsidR="000E3929" w:rsidRDefault="000E3929" w:rsidP="000E3929">
      <w:pPr>
        <w:rPr>
          <w:rFonts w:ascii="ＭＳ 明朝" w:hAnsi="ＭＳ 明朝"/>
          <w:szCs w:val="21"/>
        </w:rPr>
      </w:pPr>
      <w:r>
        <w:rPr>
          <w:rFonts w:ascii="ＭＳ 明朝" w:hAnsi="ＭＳ 明朝" w:hint="eastAsia"/>
          <w:szCs w:val="21"/>
        </w:rPr>
        <w:lastRenderedPageBreak/>
        <w:t>３．</w:t>
      </w:r>
      <w:r w:rsidR="00554449">
        <w:rPr>
          <w:rFonts w:ascii="ＭＳ 明朝" w:hAnsi="ＭＳ 明朝" w:hint="eastAsia"/>
          <w:szCs w:val="21"/>
        </w:rPr>
        <w:t>DEHPのリスク評価の進捗状況について</w:t>
      </w:r>
    </w:p>
    <w:p w14:paraId="3270332C" w14:textId="69439D3F" w:rsidR="000E3929" w:rsidRDefault="00C15ED3" w:rsidP="00D253CB">
      <w:pPr>
        <w:ind w:firstLineChars="100" w:firstLine="192"/>
        <w:rPr>
          <w:rFonts w:ascii="ＭＳ 明朝" w:hAnsi="ＭＳ 明朝"/>
          <w:szCs w:val="21"/>
        </w:rPr>
      </w:pPr>
      <w:r>
        <w:rPr>
          <w:rFonts w:ascii="ＭＳ 明朝" w:hAnsi="ＭＳ 明朝" w:hint="eastAsia"/>
          <w:szCs w:val="21"/>
        </w:rPr>
        <w:t>DEHPは</w:t>
      </w:r>
      <w:r w:rsidR="00A50A58">
        <w:rPr>
          <w:rFonts w:ascii="ＭＳ 明朝" w:hAnsi="ＭＳ 明朝" w:hint="eastAsia"/>
          <w:szCs w:val="21"/>
        </w:rPr>
        <w:t>2011年4月1日に人健康で優先評価化学物質に指定され</w:t>
      </w:r>
      <w:r w:rsidR="008559B0">
        <w:rPr>
          <w:rFonts w:ascii="ＭＳ 明朝" w:hAnsi="ＭＳ 明朝" w:hint="eastAsia"/>
          <w:szCs w:val="21"/>
        </w:rPr>
        <w:t>ました</w:t>
      </w:r>
      <w:r w:rsidR="00A50A58">
        <w:rPr>
          <w:rFonts w:ascii="ＭＳ 明朝" w:hAnsi="ＭＳ 明朝" w:hint="eastAsia"/>
          <w:szCs w:val="21"/>
        </w:rPr>
        <w:t>。その後</w:t>
      </w:r>
      <w:r w:rsidR="004C0079">
        <w:rPr>
          <w:rFonts w:ascii="ＭＳ 明朝" w:hAnsi="ＭＳ 明朝" w:hint="eastAsia"/>
          <w:szCs w:val="21"/>
        </w:rPr>
        <w:t>は優先評価化学物質としてリスク評価Ⅰ</w:t>
      </w:r>
      <w:r w:rsidR="00A20D2A">
        <w:rPr>
          <w:rFonts w:ascii="ＭＳ 明朝" w:hAnsi="ＭＳ 明朝" w:hint="eastAsia"/>
          <w:szCs w:val="21"/>
        </w:rPr>
        <w:t>が毎年実施されて</w:t>
      </w:r>
      <w:r w:rsidR="008559B0">
        <w:rPr>
          <w:rFonts w:ascii="ＭＳ 明朝" w:hAnsi="ＭＳ 明朝" w:hint="eastAsia"/>
          <w:szCs w:val="21"/>
        </w:rPr>
        <w:t>い</w:t>
      </w:r>
      <w:r w:rsidR="00A20D2A">
        <w:rPr>
          <w:rFonts w:ascii="ＭＳ 明朝" w:hAnsi="ＭＳ 明朝" w:hint="eastAsia"/>
          <w:szCs w:val="21"/>
        </w:rPr>
        <w:t>ましたが、</w:t>
      </w:r>
      <w:r w:rsidR="000E3B9E">
        <w:rPr>
          <w:rFonts w:ascii="ＭＳ 明朝" w:hAnsi="ＭＳ 明朝" w:hint="eastAsia"/>
          <w:szCs w:val="21"/>
        </w:rPr>
        <w:t>202</w:t>
      </w:r>
      <w:r w:rsidR="00B32C31">
        <w:rPr>
          <w:rFonts w:ascii="ＭＳ 明朝" w:hAnsi="ＭＳ 明朝" w:hint="eastAsia"/>
          <w:szCs w:val="21"/>
        </w:rPr>
        <w:t>0</w:t>
      </w:r>
      <w:r w:rsidR="000E3B9E">
        <w:rPr>
          <w:rFonts w:ascii="ＭＳ 明朝" w:hAnsi="ＭＳ 明朝" w:hint="eastAsia"/>
          <w:szCs w:val="21"/>
        </w:rPr>
        <w:t>年度に実施されたリスク評価Ⅰの結果、</w:t>
      </w:r>
      <w:r w:rsidR="00064F86">
        <w:rPr>
          <w:rFonts w:ascii="ＭＳ 明朝" w:hAnsi="ＭＳ 明朝" w:hint="eastAsia"/>
          <w:szCs w:val="21"/>
        </w:rPr>
        <w:t>リスク評価Ⅱに着手する必要がある</w:t>
      </w:r>
      <w:r w:rsidR="008559B0">
        <w:rPr>
          <w:rFonts w:ascii="ＭＳ 明朝" w:hAnsi="ＭＳ 明朝" w:hint="eastAsia"/>
          <w:szCs w:val="21"/>
        </w:rPr>
        <w:t>と</w:t>
      </w:r>
      <w:r w:rsidR="00064F86">
        <w:rPr>
          <w:rFonts w:ascii="ＭＳ 明朝" w:hAnsi="ＭＳ 明朝" w:hint="eastAsia"/>
          <w:szCs w:val="21"/>
        </w:rPr>
        <w:t>され、202</w:t>
      </w:r>
      <w:r w:rsidR="00B32C31">
        <w:rPr>
          <w:rFonts w:ascii="ＭＳ 明朝" w:hAnsi="ＭＳ 明朝" w:hint="eastAsia"/>
          <w:szCs w:val="21"/>
        </w:rPr>
        <w:t>1</w:t>
      </w:r>
      <w:r w:rsidR="00064F86">
        <w:rPr>
          <w:rFonts w:ascii="ＭＳ 明朝" w:hAnsi="ＭＳ 明朝" w:hint="eastAsia"/>
          <w:szCs w:val="21"/>
        </w:rPr>
        <w:t>年3月30日にリスク評価Ⅱ</w:t>
      </w:r>
      <w:r w:rsidR="00B32C31">
        <w:rPr>
          <w:rFonts w:ascii="ＭＳ 明朝" w:hAnsi="ＭＳ 明朝" w:hint="eastAsia"/>
          <w:szCs w:val="21"/>
        </w:rPr>
        <w:t>を実施する物質へ追加され</w:t>
      </w:r>
      <w:r w:rsidR="00193EFB">
        <w:rPr>
          <w:rFonts w:ascii="ＭＳ 明朝" w:hAnsi="ＭＳ 明朝" w:hint="eastAsia"/>
          <w:szCs w:val="21"/>
        </w:rPr>
        <w:t>ました。また、</w:t>
      </w:r>
      <w:r w:rsidR="00B32C31">
        <w:rPr>
          <w:rFonts w:ascii="ＭＳ 明朝" w:hAnsi="ＭＳ 明朝" w:hint="eastAsia"/>
          <w:szCs w:val="21"/>
        </w:rPr>
        <w:t>合わせて公開された審議スケジュールは2024年度以降とされました。</w:t>
      </w:r>
    </w:p>
    <w:p w14:paraId="0A8697B9" w14:textId="04E4CABA" w:rsidR="00B32C31" w:rsidRPr="00C15ED3" w:rsidRDefault="00B32C31" w:rsidP="00D253CB">
      <w:pPr>
        <w:ind w:firstLineChars="100" w:firstLine="192"/>
        <w:rPr>
          <w:rFonts w:ascii="ＭＳ 明朝" w:hAnsi="ＭＳ 明朝"/>
          <w:szCs w:val="21"/>
        </w:rPr>
      </w:pPr>
      <w:r>
        <w:rPr>
          <w:rFonts w:ascii="ＭＳ 明朝" w:hAnsi="ＭＳ 明朝" w:hint="eastAsia"/>
          <w:szCs w:val="21"/>
        </w:rPr>
        <w:t>その後、</w:t>
      </w:r>
      <w:r w:rsidR="00A76082">
        <w:rPr>
          <w:rFonts w:ascii="ＭＳ 明朝" w:hAnsi="ＭＳ 明朝" w:hint="eastAsia"/>
          <w:szCs w:val="21"/>
        </w:rPr>
        <w:t>審議スケジュールは毎年更新されて</w:t>
      </w:r>
      <w:r w:rsidR="00213B31">
        <w:rPr>
          <w:rFonts w:ascii="ＭＳ 明朝" w:hAnsi="ＭＳ 明朝" w:hint="eastAsia"/>
          <w:szCs w:val="21"/>
        </w:rPr>
        <w:t>いますが本年（2024年）に公表された審議スケジュールでは、2026年度以降とされています。審議はもう少し先に行われる見込みとなっています。</w:t>
      </w:r>
    </w:p>
    <w:p w14:paraId="3422C767" w14:textId="6015A059" w:rsidR="00A010D7" w:rsidRDefault="00213B31" w:rsidP="00A010D7">
      <w:pPr>
        <w:ind w:firstLineChars="100" w:firstLine="192"/>
        <w:rPr>
          <w:rFonts w:ascii="ＭＳ 明朝" w:hAnsi="ＭＳ 明朝"/>
          <w:szCs w:val="21"/>
        </w:rPr>
      </w:pPr>
      <w:r>
        <w:rPr>
          <w:rFonts w:ascii="ＭＳ 明朝" w:hAnsi="ＭＳ 明朝" w:hint="eastAsia"/>
          <w:szCs w:val="21"/>
        </w:rPr>
        <w:t>リスク評価Ⅱ</w:t>
      </w:r>
      <w:r w:rsidR="00A010D7">
        <w:rPr>
          <w:rFonts w:ascii="ＭＳ 明朝" w:hAnsi="ＭＳ 明朝" w:hint="eastAsia"/>
          <w:szCs w:val="21"/>
        </w:rPr>
        <w:t>の実施が必要とされたのは、20</w:t>
      </w:r>
      <w:r w:rsidR="00A268CC">
        <w:rPr>
          <w:rFonts w:ascii="ＭＳ 明朝" w:hAnsi="ＭＳ 明朝" w:hint="eastAsia"/>
          <w:szCs w:val="21"/>
        </w:rPr>
        <w:t>20</w:t>
      </w:r>
      <w:r w:rsidR="00A010D7">
        <w:rPr>
          <w:rFonts w:ascii="ＭＳ 明朝" w:hAnsi="ＭＳ 明朝" w:hint="eastAsia"/>
          <w:szCs w:val="21"/>
        </w:rPr>
        <w:t>年度に実施されたリスク評価</w:t>
      </w:r>
      <w:r w:rsidR="00A268CC">
        <w:rPr>
          <w:rFonts w:ascii="ＭＳ 明朝" w:hAnsi="ＭＳ 明朝" w:hint="eastAsia"/>
          <w:szCs w:val="21"/>
        </w:rPr>
        <w:t>Ⅰの結果において、D値（※1）が変更された</w:t>
      </w:r>
      <w:r w:rsidR="008559B0">
        <w:rPr>
          <w:rFonts w:ascii="ＭＳ 明朝" w:hAnsi="ＭＳ 明朝" w:hint="eastAsia"/>
          <w:szCs w:val="21"/>
        </w:rPr>
        <w:t>ためです</w:t>
      </w:r>
      <w:r w:rsidR="00A268CC">
        <w:rPr>
          <w:rFonts w:ascii="ＭＳ 明朝" w:hAnsi="ＭＳ 明朝" w:hint="eastAsia"/>
          <w:szCs w:val="21"/>
        </w:rPr>
        <w:t>。</w:t>
      </w:r>
      <w:r w:rsidR="00A010D7" w:rsidRPr="00771A87">
        <w:rPr>
          <w:rFonts w:ascii="ＭＳ 明朝" w:hAnsi="ＭＳ 明朝" w:hint="eastAsia"/>
          <w:szCs w:val="21"/>
        </w:rPr>
        <w:t>人健康影響データについて</w:t>
      </w:r>
      <w:r w:rsidR="00A268CC">
        <w:rPr>
          <w:rFonts w:ascii="ＭＳ 明朝" w:hAnsi="ＭＳ 明朝" w:hint="eastAsia"/>
          <w:szCs w:val="21"/>
        </w:rPr>
        <w:t>、2022</w:t>
      </w:r>
      <w:r w:rsidR="00A010D7" w:rsidRPr="00771A87">
        <w:rPr>
          <w:rFonts w:ascii="ＭＳ 明朝" w:hAnsi="ＭＳ 明朝" w:hint="eastAsia"/>
          <w:szCs w:val="21"/>
        </w:rPr>
        <w:t>年度</w:t>
      </w:r>
      <w:r w:rsidR="00A010D7">
        <w:rPr>
          <w:rFonts w:ascii="ＭＳ 明朝" w:hAnsi="ＭＳ 明朝" w:hint="eastAsia"/>
          <w:szCs w:val="21"/>
          <w:vertAlign w:val="superscript"/>
        </w:rPr>
        <w:t>4</w:t>
      </w:r>
      <w:r w:rsidR="00A010D7" w:rsidRPr="00771A87">
        <w:rPr>
          <w:rFonts w:ascii="ＭＳ 明朝" w:hAnsi="ＭＳ 明朝" w:hint="eastAsia"/>
          <w:szCs w:val="21"/>
          <w:vertAlign w:val="superscript"/>
        </w:rPr>
        <w:t>）</w:t>
      </w:r>
      <w:r w:rsidR="00A010D7" w:rsidRPr="00771A87">
        <w:rPr>
          <w:rFonts w:ascii="ＭＳ 明朝" w:hAnsi="ＭＳ 明朝" w:hint="eastAsia"/>
          <w:szCs w:val="21"/>
        </w:rPr>
        <w:t>と</w:t>
      </w:r>
      <w:r w:rsidR="00A268CC">
        <w:rPr>
          <w:rFonts w:ascii="ＭＳ 明朝" w:hAnsi="ＭＳ 明朝" w:hint="eastAsia"/>
          <w:szCs w:val="21"/>
        </w:rPr>
        <w:t>2019</w:t>
      </w:r>
      <w:r w:rsidR="00A010D7" w:rsidRPr="00771A87">
        <w:rPr>
          <w:rFonts w:ascii="ＭＳ 明朝" w:hAnsi="ＭＳ 明朝" w:hint="eastAsia"/>
          <w:szCs w:val="21"/>
        </w:rPr>
        <w:t>年度</w:t>
      </w:r>
      <w:r w:rsidR="00A010D7">
        <w:rPr>
          <w:rFonts w:ascii="ＭＳ 明朝" w:hAnsi="ＭＳ 明朝" w:hint="eastAsia"/>
          <w:szCs w:val="21"/>
          <w:vertAlign w:val="superscript"/>
        </w:rPr>
        <w:t>5</w:t>
      </w:r>
      <w:r w:rsidR="00A010D7" w:rsidRPr="00771A87">
        <w:rPr>
          <w:rFonts w:ascii="ＭＳ 明朝" w:hAnsi="ＭＳ 明朝" w:hint="eastAsia"/>
          <w:szCs w:val="21"/>
          <w:vertAlign w:val="superscript"/>
        </w:rPr>
        <w:t>）</w:t>
      </w:r>
      <w:r w:rsidR="00A010D7" w:rsidRPr="00771A87">
        <w:rPr>
          <w:rFonts w:ascii="ＭＳ 明朝" w:hAnsi="ＭＳ 明朝" w:hint="eastAsia"/>
          <w:szCs w:val="21"/>
        </w:rPr>
        <w:t>の比較データを下表</w:t>
      </w:r>
      <w:r w:rsidR="00A268CC">
        <w:rPr>
          <w:rFonts w:ascii="ＭＳ 明朝" w:hAnsi="ＭＳ 明朝" w:hint="eastAsia"/>
          <w:szCs w:val="21"/>
        </w:rPr>
        <w:t>2</w:t>
      </w:r>
      <w:r w:rsidR="00A010D7" w:rsidRPr="00771A87">
        <w:rPr>
          <w:rFonts w:ascii="ＭＳ 明朝" w:hAnsi="ＭＳ 明朝" w:hint="eastAsia"/>
          <w:szCs w:val="21"/>
        </w:rPr>
        <w:t>に</w:t>
      </w:r>
      <w:r w:rsidR="00A268CC">
        <w:rPr>
          <w:rFonts w:ascii="ＭＳ 明朝" w:hAnsi="ＭＳ 明朝" w:hint="eastAsia"/>
          <w:szCs w:val="21"/>
        </w:rPr>
        <w:t>まとめました。</w:t>
      </w:r>
      <w:r w:rsidR="00A010D7" w:rsidRPr="00771A87">
        <w:rPr>
          <w:rFonts w:ascii="ＭＳ 明朝" w:hAnsi="ＭＳ 明朝" w:hint="eastAsia"/>
          <w:szCs w:val="21"/>
        </w:rPr>
        <w:t>ATSDRは米国有害物質疾病登録局（The Agency for Toxic Substances and Disease Registry）です。</w:t>
      </w:r>
      <w:r w:rsidR="00D367B3">
        <w:rPr>
          <w:rFonts w:ascii="ＭＳ 明朝" w:hAnsi="ＭＳ 明朝" w:hint="eastAsia"/>
          <w:szCs w:val="21"/>
        </w:rPr>
        <w:t>2020年度のリスク評価において、</w:t>
      </w:r>
      <w:r w:rsidR="00A010D7" w:rsidRPr="00771A87">
        <w:rPr>
          <w:rFonts w:ascii="ＭＳ 明朝" w:hAnsi="ＭＳ 明朝" w:hint="eastAsia"/>
          <w:szCs w:val="21"/>
        </w:rPr>
        <w:t>有害性の採用文献が変更</w:t>
      </w:r>
      <w:r w:rsidR="004E6097">
        <w:rPr>
          <w:rFonts w:ascii="ＭＳ 明朝" w:hAnsi="ＭＳ 明朝" w:hint="eastAsia"/>
          <w:szCs w:val="21"/>
        </w:rPr>
        <w:t>されたことで</w:t>
      </w:r>
      <w:r w:rsidR="00A010D7">
        <w:rPr>
          <w:rFonts w:ascii="ＭＳ 明朝" w:hAnsi="ＭＳ 明朝" w:hint="eastAsia"/>
          <w:szCs w:val="21"/>
        </w:rPr>
        <w:t>D</w:t>
      </w:r>
      <w:r w:rsidR="00A010D7" w:rsidRPr="00771A87">
        <w:rPr>
          <w:rFonts w:ascii="ＭＳ 明朝" w:hAnsi="ＭＳ 明朝" w:hint="eastAsia"/>
          <w:szCs w:val="21"/>
        </w:rPr>
        <w:t>値が1/30と非常に小さくなっているのがわかります。</w:t>
      </w:r>
      <w:r w:rsidR="00D367B3">
        <w:rPr>
          <w:rFonts w:ascii="ＭＳ 明朝" w:hAnsi="ＭＳ 明朝" w:hint="eastAsia"/>
          <w:szCs w:val="21"/>
        </w:rPr>
        <w:t>このことによって、リスク評価</w:t>
      </w:r>
      <w:r w:rsidR="004E6097">
        <w:rPr>
          <w:rFonts w:ascii="ＭＳ 明朝" w:hAnsi="ＭＳ 明朝" w:hint="eastAsia"/>
          <w:szCs w:val="21"/>
        </w:rPr>
        <w:t>Ⅱ</w:t>
      </w:r>
      <w:r w:rsidR="00235C09">
        <w:rPr>
          <w:rFonts w:ascii="ＭＳ 明朝" w:hAnsi="ＭＳ 明朝" w:hint="eastAsia"/>
          <w:szCs w:val="21"/>
        </w:rPr>
        <w:t>において詳細なリスク評価が必要になると判断されました。</w:t>
      </w:r>
    </w:p>
    <w:p w14:paraId="35487D08" w14:textId="7E0916AD" w:rsidR="00A010D7" w:rsidRPr="003504A9" w:rsidRDefault="00A268CC" w:rsidP="00057166">
      <w:pPr>
        <w:ind w:leftChars="74" w:left="667" w:hangingChars="369" w:hanging="525"/>
        <w:jc w:val="left"/>
        <w:rPr>
          <w:rFonts w:ascii="ＭＳ 明朝" w:hAnsi="ＭＳ 明朝"/>
          <w:sz w:val="16"/>
          <w:szCs w:val="16"/>
        </w:rPr>
      </w:pPr>
      <w:r w:rsidRPr="003504A9">
        <w:rPr>
          <w:rFonts w:ascii="ＭＳ 明朝" w:hAnsi="ＭＳ 明朝" w:hint="eastAsia"/>
          <w:sz w:val="16"/>
          <w:szCs w:val="16"/>
        </w:rPr>
        <w:t>（※1）有害性評価値</w:t>
      </w:r>
      <w:r w:rsidR="00057166" w:rsidRPr="003504A9">
        <w:rPr>
          <w:rFonts w:ascii="ＭＳ 明朝" w:hAnsi="ＭＳ 明朝" w:hint="eastAsia"/>
          <w:sz w:val="16"/>
          <w:szCs w:val="16"/>
        </w:rPr>
        <w:t>、TDI（1日体重1kgあたりの許容摂取量）と同義</w:t>
      </w:r>
    </w:p>
    <w:p w14:paraId="40504985" w14:textId="77777777" w:rsidR="000C6F21" w:rsidRPr="00767C05" w:rsidRDefault="000C6F21" w:rsidP="00A010D7">
      <w:pPr>
        <w:ind w:firstLineChars="100" w:firstLine="192"/>
        <w:jc w:val="left"/>
        <w:rPr>
          <w:rFonts w:ascii="ＭＳ 明朝" w:hAnsi="ＭＳ 明朝"/>
          <w:szCs w:val="21"/>
        </w:rPr>
      </w:pPr>
    </w:p>
    <w:p w14:paraId="38F161BD" w14:textId="77777777" w:rsidR="00A010D7" w:rsidRDefault="00A010D7" w:rsidP="00C8787F">
      <w:pPr>
        <w:jc w:val="left"/>
        <w:rPr>
          <w:rFonts w:ascii="ＭＳ 明朝" w:hAnsi="ＭＳ 明朝"/>
          <w:szCs w:val="21"/>
        </w:rPr>
      </w:pPr>
      <w:r>
        <w:rPr>
          <w:rFonts w:ascii="ＭＳ 明朝" w:hAnsi="ＭＳ 明朝" w:hint="eastAsia"/>
          <w:szCs w:val="21"/>
        </w:rPr>
        <w:t>表2．DEHPの人健康データの比較</w:t>
      </w:r>
    </w:p>
    <w:p w14:paraId="273E396A" w14:textId="61DD80AE" w:rsidR="00B32C31" w:rsidRDefault="00A672B4" w:rsidP="000E3929">
      <w:pPr>
        <w:rPr>
          <w:rFonts w:ascii="ＭＳ 明朝" w:hAnsi="ＭＳ 明朝"/>
          <w:szCs w:val="21"/>
        </w:rPr>
      </w:pPr>
      <w:r w:rsidRPr="00A672B4">
        <w:rPr>
          <w:rFonts w:ascii="ＭＳ 明朝" w:hAnsi="ＭＳ 明朝"/>
          <w:szCs w:val="21"/>
        </w:rPr>
        <w:drawing>
          <wp:inline distT="0" distB="0" distL="0" distR="0" wp14:anchorId="099E846E" wp14:editId="3405A819">
            <wp:extent cx="3139219" cy="1682261"/>
            <wp:effectExtent l="0" t="0" r="4445" b="0"/>
            <wp:docPr id="17791883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18834" name=""/>
                    <pic:cNvPicPr/>
                  </pic:nvPicPr>
                  <pic:blipFill>
                    <a:blip r:embed="rId9"/>
                    <a:stretch>
                      <a:fillRect/>
                    </a:stretch>
                  </pic:blipFill>
                  <pic:spPr>
                    <a:xfrm>
                      <a:off x="0" y="0"/>
                      <a:ext cx="3139906" cy="1682629"/>
                    </a:xfrm>
                    <a:prstGeom prst="rect">
                      <a:avLst/>
                    </a:prstGeom>
                  </pic:spPr>
                </pic:pic>
              </a:graphicData>
            </a:graphic>
          </wp:inline>
        </w:drawing>
      </w:r>
    </w:p>
    <w:p w14:paraId="72D18512" w14:textId="77777777" w:rsidR="00C01025" w:rsidRDefault="00C01025" w:rsidP="000E3929">
      <w:pPr>
        <w:rPr>
          <w:rFonts w:ascii="ＭＳ 明朝" w:hAnsi="ＭＳ 明朝"/>
          <w:szCs w:val="21"/>
        </w:rPr>
      </w:pPr>
    </w:p>
    <w:p w14:paraId="1F78932D" w14:textId="77777777" w:rsidR="001258A6" w:rsidRDefault="001258A6" w:rsidP="001258A6">
      <w:pPr>
        <w:rPr>
          <w:rFonts w:ascii="ＭＳ 明朝" w:hAnsi="ＭＳ 明朝"/>
          <w:szCs w:val="21"/>
        </w:rPr>
      </w:pPr>
      <w:r>
        <w:rPr>
          <w:rFonts w:ascii="ＭＳ 明朝" w:hAnsi="ＭＳ 明朝" w:hint="eastAsia"/>
          <w:szCs w:val="21"/>
        </w:rPr>
        <w:t>４．JPIAでの活動状況</w:t>
      </w:r>
    </w:p>
    <w:p w14:paraId="78FAD0DE" w14:textId="1E14B187" w:rsidR="00CF356E" w:rsidRDefault="008559B0" w:rsidP="008559B0">
      <w:pPr>
        <w:ind w:firstLineChars="100" w:firstLine="192"/>
      </w:pPr>
      <w:r>
        <w:rPr>
          <w:rFonts w:ascii="ＭＳ 明朝" w:hAnsi="ＭＳ 明朝" w:hint="eastAsia"/>
          <w:szCs w:val="21"/>
        </w:rPr>
        <w:t>変更後のD</w:t>
      </w:r>
      <w:r w:rsidR="000C6F21" w:rsidRPr="008559B0">
        <w:rPr>
          <w:rFonts w:ascii="ＭＳ 明朝" w:hAnsi="ＭＳ 明朝" w:hint="eastAsia"/>
          <w:szCs w:val="21"/>
        </w:rPr>
        <w:t>値</w:t>
      </w:r>
      <w:r>
        <w:rPr>
          <w:rFonts w:ascii="ＭＳ 明朝" w:hAnsi="ＭＳ 明朝" w:hint="eastAsia"/>
          <w:szCs w:val="21"/>
        </w:rPr>
        <w:t>は</w:t>
      </w:r>
      <w:r w:rsidR="000C6F21" w:rsidRPr="008559B0">
        <w:rPr>
          <w:rFonts w:ascii="ＭＳ 明朝" w:hAnsi="ＭＳ 明朝" w:hint="eastAsia"/>
          <w:szCs w:val="21"/>
        </w:rPr>
        <w:t>ATSDRの評価書へ採用されたZhang et alによる論文の情報</w:t>
      </w:r>
      <w:r>
        <w:rPr>
          <w:rFonts w:ascii="ＭＳ 明朝" w:hAnsi="ＭＳ 明朝" w:hint="eastAsia"/>
          <w:szCs w:val="21"/>
        </w:rPr>
        <w:t>がもとになっており、</w:t>
      </w:r>
      <w:r w:rsidR="000C6F21" w:rsidRPr="008559B0">
        <w:rPr>
          <w:rFonts w:ascii="ＭＳ 明朝" w:hAnsi="ＭＳ 明朝" w:hint="eastAsia"/>
          <w:szCs w:val="21"/>
        </w:rPr>
        <w:t>JPIAにお</w:t>
      </w:r>
      <w:r w:rsidR="00EB6357" w:rsidRPr="008559B0">
        <w:rPr>
          <w:rFonts w:ascii="ＭＳ 明朝" w:hAnsi="ＭＳ 明朝" w:hint="eastAsia"/>
          <w:szCs w:val="21"/>
        </w:rPr>
        <w:t>ける見解および対応方針を可塑剤インフォメーションNo.32</w:t>
      </w:r>
      <w:r w:rsidR="00BD5CD3">
        <w:rPr>
          <w:rFonts w:ascii="ＭＳ 明朝" w:hAnsi="ＭＳ 明朝" w:hint="eastAsia"/>
          <w:szCs w:val="21"/>
        </w:rPr>
        <w:t xml:space="preserve"> </w:t>
      </w:r>
      <w:r w:rsidR="00BD5CD3" w:rsidRPr="00BD5CD3">
        <w:rPr>
          <w:rFonts w:ascii="ＭＳ 明朝" w:hAnsi="ＭＳ 明朝" w:hint="eastAsia"/>
          <w:szCs w:val="21"/>
          <w:vertAlign w:val="superscript"/>
        </w:rPr>
        <w:t>5)</w:t>
      </w:r>
      <w:r w:rsidR="00BD5CD3">
        <w:rPr>
          <w:rFonts w:ascii="ＭＳ 明朝" w:hAnsi="ＭＳ 明朝" w:hint="eastAsia"/>
          <w:szCs w:val="21"/>
          <w:vertAlign w:val="superscript"/>
        </w:rPr>
        <w:t xml:space="preserve"> </w:t>
      </w:r>
      <w:r w:rsidR="00EB6357" w:rsidRPr="008559B0">
        <w:rPr>
          <w:rFonts w:ascii="ＭＳ 明朝" w:hAnsi="ＭＳ 明朝" w:hint="eastAsia"/>
          <w:szCs w:val="21"/>
        </w:rPr>
        <w:t>において</w:t>
      </w:r>
      <w:r>
        <w:rPr>
          <w:rFonts w:ascii="ＭＳ 明朝" w:hAnsi="ＭＳ 明朝" w:hint="eastAsia"/>
          <w:szCs w:val="21"/>
        </w:rPr>
        <w:t>まとめています</w:t>
      </w:r>
      <w:r w:rsidR="00EB6357" w:rsidRPr="008559B0">
        <w:rPr>
          <w:rFonts w:ascii="ＭＳ 明朝" w:hAnsi="ＭＳ 明朝" w:hint="eastAsia"/>
          <w:szCs w:val="21"/>
        </w:rPr>
        <w:t>。また、</w:t>
      </w:r>
      <w:r w:rsidR="00CF356E" w:rsidRPr="008559B0">
        <w:rPr>
          <w:rFonts w:ascii="ＭＳ 明朝" w:hAnsi="ＭＳ 明朝" w:hint="eastAsia"/>
          <w:szCs w:val="21"/>
        </w:rPr>
        <w:t>Zhang et al</w:t>
      </w:r>
      <w:r w:rsidR="00EB6357" w:rsidRPr="008559B0">
        <w:rPr>
          <w:rFonts w:ascii="ＭＳ 明朝" w:hAnsi="ＭＳ 明朝" w:hint="eastAsia"/>
          <w:szCs w:val="21"/>
        </w:rPr>
        <w:t>による</w:t>
      </w:r>
      <w:r w:rsidR="00CF356E" w:rsidRPr="008559B0">
        <w:rPr>
          <w:rFonts w:ascii="ＭＳ 明朝" w:hAnsi="ＭＳ 明朝" w:hint="eastAsia"/>
          <w:szCs w:val="21"/>
        </w:rPr>
        <w:t>文献以外の文献については、有害性の候補となりえるかどうかを同様の手法により精査を実施してきています。</w:t>
      </w:r>
      <w:r w:rsidR="00E15486" w:rsidRPr="008559B0">
        <w:rPr>
          <w:rFonts w:ascii="ＭＳ 明朝" w:hAnsi="ＭＳ 明朝" w:hint="eastAsia"/>
          <w:szCs w:val="21"/>
        </w:rPr>
        <w:t>「化審法における人健康影響に関する有害性データの信頼性評価等について【改訂第２版】</w:t>
      </w:r>
      <w:r w:rsidR="00BD5CD3">
        <w:rPr>
          <w:rFonts w:ascii="ＭＳ 明朝" w:hAnsi="ＭＳ 明朝" w:hint="eastAsia"/>
          <w:szCs w:val="21"/>
          <w:vertAlign w:val="superscript"/>
        </w:rPr>
        <w:t>6</w:t>
      </w:r>
      <w:r w:rsidR="00EC2F55" w:rsidRPr="008559B0">
        <w:rPr>
          <w:rFonts w:ascii="ＭＳ 明朝" w:hAnsi="ＭＳ 明朝" w:hint="eastAsia"/>
          <w:szCs w:val="21"/>
          <w:vertAlign w:val="superscript"/>
        </w:rPr>
        <w:t>)</w:t>
      </w:r>
      <w:r w:rsidR="00E15486" w:rsidRPr="008559B0">
        <w:rPr>
          <w:rFonts w:ascii="ＭＳ 明朝" w:hAnsi="ＭＳ 明朝" w:hint="eastAsia"/>
          <w:szCs w:val="21"/>
        </w:rPr>
        <w:t>」</w:t>
      </w:r>
      <w:r w:rsidR="003504A9">
        <w:rPr>
          <w:rFonts w:ascii="ＭＳ 明朝" w:hAnsi="ＭＳ 明朝" w:hint="eastAsia"/>
          <w:szCs w:val="21"/>
        </w:rPr>
        <w:t>をもとにして</w:t>
      </w:r>
      <w:r w:rsidR="00E51D6E" w:rsidRPr="008559B0">
        <w:rPr>
          <w:rFonts w:ascii="ＭＳ 明朝" w:hAnsi="ＭＳ 明朝" w:hint="eastAsia"/>
          <w:szCs w:val="21"/>
        </w:rPr>
        <w:t>、調査の優先順位が高い評価書</w:t>
      </w:r>
      <w:r w:rsidR="003504A9">
        <w:rPr>
          <w:rFonts w:ascii="ＭＳ 明朝" w:hAnsi="ＭＳ 明朝" w:hint="eastAsia"/>
          <w:szCs w:val="21"/>
        </w:rPr>
        <w:t>（※2）</w:t>
      </w:r>
      <w:r w:rsidR="00E15486" w:rsidRPr="008559B0">
        <w:rPr>
          <w:rFonts w:ascii="ＭＳ 明朝" w:hAnsi="ＭＳ 明朝" w:hint="eastAsia"/>
          <w:szCs w:val="21"/>
        </w:rPr>
        <w:t>において、経口経路</w:t>
      </w:r>
      <w:r w:rsidR="00E15486" w:rsidRPr="008559B0">
        <w:rPr>
          <w:rFonts w:ascii="ＭＳ 明朝" w:hAnsi="ＭＳ 明朝" w:hint="eastAsia"/>
          <w:szCs w:val="21"/>
        </w:rPr>
        <w:t>及び吸入経路</w:t>
      </w:r>
      <w:r w:rsidR="003504A9">
        <w:rPr>
          <w:rFonts w:ascii="ＭＳ 明朝" w:hAnsi="ＭＳ 明朝" w:hint="eastAsia"/>
          <w:szCs w:val="21"/>
        </w:rPr>
        <w:t>毎</w:t>
      </w:r>
      <w:r w:rsidR="00E15486" w:rsidRPr="008559B0">
        <w:rPr>
          <w:rFonts w:ascii="ＭＳ 明朝" w:hAnsi="ＭＳ 明朝" w:hint="eastAsia"/>
          <w:szCs w:val="21"/>
        </w:rPr>
        <w:t>に一般毒性 （非発がん）、生殖発生毒性、発がん性に係る</w:t>
      </w:r>
      <w:r w:rsidR="003504A9">
        <w:rPr>
          <w:rFonts w:ascii="ＭＳ 明朝" w:hAnsi="ＭＳ 明朝" w:hint="eastAsia"/>
          <w:szCs w:val="21"/>
        </w:rPr>
        <w:t>キー</w:t>
      </w:r>
      <w:r w:rsidR="00E15486" w:rsidRPr="008559B0">
        <w:rPr>
          <w:rFonts w:ascii="ＭＳ 明朝" w:hAnsi="ＭＳ 明朝" w:hint="eastAsia"/>
          <w:szCs w:val="21"/>
        </w:rPr>
        <w:t>スタディの文献を収集し</w:t>
      </w:r>
      <w:r w:rsidR="003504A9">
        <w:rPr>
          <w:rFonts w:ascii="ＭＳ 明朝" w:hAnsi="ＭＳ 明朝" w:hint="eastAsia"/>
          <w:szCs w:val="21"/>
        </w:rPr>
        <w:t>ます。</w:t>
      </w:r>
      <w:r w:rsidR="00E15486" w:rsidRPr="008559B0">
        <w:rPr>
          <w:rFonts w:ascii="ＭＳ 明朝" w:hAnsi="ＭＳ 明朝" w:hint="eastAsia"/>
          <w:szCs w:val="21"/>
        </w:rPr>
        <w:t>また、</w:t>
      </w:r>
      <w:r w:rsidR="003504A9">
        <w:rPr>
          <w:rFonts w:ascii="ＭＳ 明朝" w:hAnsi="ＭＳ 明朝" w:hint="eastAsia"/>
          <w:szCs w:val="21"/>
        </w:rPr>
        <w:t>文献については最新の</w:t>
      </w:r>
      <w:r w:rsidR="00E15486" w:rsidRPr="008559B0">
        <w:rPr>
          <w:rFonts w:ascii="ＭＳ 明朝" w:hAnsi="ＭＳ 明朝" w:hint="eastAsia"/>
          <w:szCs w:val="21"/>
        </w:rPr>
        <w:t>評価書</w:t>
      </w:r>
      <w:r w:rsidR="003504A9">
        <w:rPr>
          <w:rFonts w:ascii="ＭＳ 明朝" w:hAnsi="ＭＳ 明朝" w:hint="eastAsia"/>
          <w:szCs w:val="21"/>
        </w:rPr>
        <w:t>の</w:t>
      </w:r>
      <w:r w:rsidR="00E15486" w:rsidRPr="008559B0">
        <w:rPr>
          <w:rFonts w:ascii="ＭＳ 明朝" w:hAnsi="ＭＳ 明朝" w:hint="eastAsia"/>
          <w:szCs w:val="21"/>
        </w:rPr>
        <w:t>評価年よ</w:t>
      </w:r>
      <w:r w:rsidR="003504A9">
        <w:rPr>
          <w:rFonts w:ascii="ＭＳ 明朝" w:hAnsi="ＭＳ 明朝" w:hint="eastAsia"/>
          <w:szCs w:val="21"/>
        </w:rPr>
        <w:t>り</w:t>
      </w:r>
      <w:r w:rsidR="00E15486" w:rsidRPr="008559B0">
        <w:rPr>
          <w:rFonts w:ascii="ＭＳ 明朝" w:hAnsi="ＭＳ 明朝" w:hint="eastAsia"/>
          <w:szCs w:val="21"/>
        </w:rPr>
        <w:t>2 年遡った年からの新規文献</w:t>
      </w:r>
      <w:r w:rsidR="003504A9">
        <w:rPr>
          <w:rFonts w:ascii="ＭＳ 明朝" w:hAnsi="ＭＳ 明朝" w:hint="eastAsia"/>
          <w:szCs w:val="21"/>
        </w:rPr>
        <w:t>を</w:t>
      </w:r>
      <w:r w:rsidR="00E15486" w:rsidRPr="008559B0">
        <w:rPr>
          <w:rFonts w:ascii="ＭＳ 明朝" w:hAnsi="ＭＳ 明朝" w:hint="eastAsia"/>
          <w:szCs w:val="21"/>
        </w:rPr>
        <w:t>調査対象とし</w:t>
      </w:r>
      <w:r w:rsidR="003504A9">
        <w:rPr>
          <w:rFonts w:ascii="ＭＳ 明朝" w:hAnsi="ＭＳ 明朝" w:hint="eastAsia"/>
          <w:szCs w:val="21"/>
        </w:rPr>
        <w:t>てい</w:t>
      </w:r>
      <w:r w:rsidR="00E15486" w:rsidRPr="008559B0">
        <w:rPr>
          <w:rFonts w:ascii="ＭＳ 明朝" w:hAnsi="ＭＳ 明朝" w:hint="eastAsia"/>
          <w:szCs w:val="21"/>
        </w:rPr>
        <w:t>ます。</w:t>
      </w:r>
      <w:r w:rsidR="003504A9">
        <w:rPr>
          <w:rFonts w:ascii="ＭＳ 明朝" w:hAnsi="ＭＳ 明朝" w:hint="eastAsia"/>
          <w:szCs w:val="21"/>
        </w:rPr>
        <w:t>有害性文献の精査の</w:t>
      </w:r>
      <w:r w:rsidR="00CF356E" w:rsidRPr="008559B0">
        <w:rPr>
          <w:rFonts w:ascii="ＭＳ 明朝" w:hAnsi="ＭＳ 明朝" w:hint="eastAsia"/>
          <w:szCs w:val="21"/>
        </w:rPr>
        <w:t>具体的なプロセスは以下の表３に示しています。精査を実施する際は、専門性、公平性に配慮するため、JPIA以外の専門家へも意見をいただきながら、科学的見地から信頼性の精査を進めるようにしています。</w:t>
      </w:r>
    </w:p>
    <w:p w14:paraId="0BF00A11" w14:textId="77777777" w:rsidR="003504A9" w:rsidRDefault="003504A9" w:rsidP="000C6F21">
      <w:pPr>
        <w:ind w:firstLineChars="100" w:firstLine="142"/>
        <w:rPr>
          <w:rFonts w:ascii="ＭＳ 明朝" w:hAnsi="ＭＳ 明朝"/>
          <w:sz w:val="16"/>
          <w:szCs w:val="16"/>
        </w:rPr>
      </w:pPr>
      <w:r w:rsidRPr="003504A9">
        <w:rPr>
          <w:rFonts w:ascii="ＭＳ 明朝" w:hAnsi="ＭＳ 明朝" w:hint="eastAsia"/>
          <w:sz w:val="16"/>
          <w:szCs w:val="16"/>
        </w:rPr>
        <w:t>（※2）食品安全機関（EFSA）、欧州化学品庁（ECHA）等 、 EU、USA、</w:t>
      </w:r>
    </w:p>
    <w:p w14:paraId="5C74B8B2" w14:textId="65586A39" w:rsidR="00CF356E" w:rsidRDefault="003504A9" w:rsidP="003504A9">
      <w:pPr>
        <w:ind w:firstLineChars="450" w:firstLine="640"/>
        <w:rPr>
          <w:rFonts w:ascii="ＭＳ 明朝" w:hAnsi="ＭＳ 明朝"/>
          <w:sz w:val="16"/>
          <w:szCs w:val="16"/>
        </w:rPr>
      </w:pPr>
      <w:r w:rsidRPr="003504A9">
        <w:rPr>
          <w:rFonts w:ascii="ＭＳ 明朝" w:hAnsi="ＭＳ 明朝" w:hint="eastAsia"/>
          <w:sz w:val="16"/>
          <w:szCs w:val="16"/>
        </w:rPr>
        <w:t>その他の最新評価文書</w:t>
      </w:r>
    </w:p>
    <w:p w14:paraId="236F5F41" w14:textId="77777777" w:rsidR="003504A9" w:rsidRPr="003504A9" w:rsidRDefault="003504A9" w:rsidP="003504A9">
      <w:pPr>
        <w:ind w:firstLineChars="450" w:firstLine="640"/>
        <w:rPr>
          <w:sz w:val="16"/>
          <w:szCs w:val="16"/>
        </w:rPr>
      </w:pPr>
    </w:p>
    <w:p w14:paraId="62F0401E" w14:textId="6E9319F5" w:rsidR="00CF356E" w:rsidRDefault="00CF356E" w:rsidP="00CF356E">
      <w:pPr>
        <w:ind w:leftChars="100" w:left="709" w:hangingChars="269" w:hanging="517"/>
      </w:pPr>
      <w:r w:rsidRPr="008559B0">
        <w:rPr>
          <w:rFonts w:ascii="ＭＳ 明朝" w:hAnsi="ＭＳ 明朝" w:hint="eastAsia"/>
          <w:szCs w:val="21"/>
        </w:rPr>
        <w:t>表３　JPIAのリスク評価Ⅱを想定した有害性文献の精査プロセス</w:t>
      </w:r>
    </w:p>
    <w:p w14:paraId="4F3054DF" w14:textId="35FBB221" w:rsidR="00CF356E" w:rsidRDefault="003504A9" w:rsidP="000C6F21">
      <w:pPr>
        <w:ind w:firstLineChars="100" w:firstLine="202"/>
      </w:pPr>
      <w:r w:rsidRPr="003504A9">
        <w:rPr>
          <w:noProof/>
        </w:rPr>
        <w:drawing>
          <wp:inline distT="0" distB="0" distL="0" distR="0" wp14:anchorId="13ED7F6C" wp14:editId="44857C02">
            <wp:extent cx="3052445" cy="734695"/>
            <wp:effectExtent l="0" t="0" r="0" b="8255"/>
            <wp:docPr id="147796429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964299" name=""/>
                    <pic:cNvPicPr/>
                  </pic:nvPicPr>
                  <pic:blipFill>
                    <a:blip r:embed="rId10"/>
                    <a:stretch>
                      <a:fillRect/>
                    </a:stretch>
                  </pic:blipFill>
                  <pic:spPr>
                    <a:xfrm>
                      <a:off x="0" y="0"/>
                      <a:ext cx="3052445" cy="734695"/>
                    </a:xfrm>
                    <a:prstGeom prst="rect">
                      <a:avLst/>
                    </a:prstGeom>
                  </pic:spPr>
                </pic:pic>
              </a:graphicData>
            </a:graphic>
          </wp:inline>
        </w:drawing>
      </w:r>
    </w:p>
    <w:p w14:paraId="62EFC380" w14:textId="4DB4053B" w:rsidR="00CF356E" w:rsidRDefault="009E276B" w:rsidP="00C4356E">
      <w:pPr>
        <w:pStyle w:val="af"/>
        <w:numPr>
          <w:ilvl w:val="0"/>
          <w:numId w:val="5"/>
        </w:numPr>
        <w:ind w:leftChars="0" w:left="357" w:hanging="357"/>
        <w:rPr>
          <w:rFonts w:ascii="ＭＳ 明朝" w:hAnsi="ＭＳ 明朝"/>
          <w:szCs w:val="21"/>
        </w:rPr>
      </w:pPr>
      <w:r w:rsidRPr="00C4356E">
        <w:rPr>
          <w:rFonts w:ascii="ＭＳ 明朝" w:hAnsi="ＭＳ 明朝" w:hint="eastAsia"/>
          <w:szCs w:val="21"/>
        </w:rPr>
        <w:t>国際機関等</w:t>
      </w:r>
      <w:r w:rsidR="00EC2F55">
        <w:rPr>
          <w:rFonts w:ascii="ＭＳ 明朝" w:hAnsi="ＭＳ 明朝" w:hint="eastAsia"/>
          <w:szCs w:val="21"/>
        </w:rPr>
        <w:t>が2022年12月までに作成した</w:t>
      </w:r>
      <w:r w:rsidRPr="00C4356E">
        <w:rPr>
          <w:rFonts w:ascii="ＭＳ 明朝" w:hAnsi="ＭＳ 明朝" w:hint="eastAsia"/>
          <w:szCs w:val="21"/>
        </w:rPr>
        <w:t>評価書</w:t>
      </w:r>
      <w:r w:rsidR="00EC2F55">
        <w:rPr>
          <w:rFonts w:ascii="ＭＳ 明朝" w:hAnsi="ＭＳ 明朝" w:hint="eastAsia"/>
          <w:szCs w:val="21"/>
        </w:rPr>
        <w:t>を収集し、その</w:t>
      </w:r>
      <w:r w:rsidRPr="00C4356E">
        <w:rPr>
          <w:rFonts w:ascii="ＭＳ 明朝" w:hAnsi="ＭＳ 明朝" w:hint="eastAsia"/>
          <w:szCs w:val="21"/>
        </w:rPr>
        <w:t>評価値を確認し</w:t>
      </w:r>
      <w:r w:rsidR="00A954FD" w:rsidRPr="00C4356E">
        <w:rPr>
          <w:rFonts w:ascii="ＭＳ 明朝" w:hAnsi="ＭＳ 明朝" w:hint="eastAsia"/>
          <w:szCs w:val="21"/>
        </w:rPr>
        <w:t>たところ、</w:t>
      </w:r>
      <w:r w:rsidR="00C4356E" w:rsidRPr="00C4356E">
        <w:rPr>
          <w:rFonts w:ascii="ＭＳ 明朝" w:hAnsi="ＭＳ 明朝" w:hint="eastAsia"/>
          <w:szCs w:val="21"/>
        </w:rPr>
        <w:t>DEHP</w:t>
      </w:r>
      <w:r w:rsidR="00EC2F55">
        <w:rPr>
          <w:rFonts w:ascii="ＭＳ 明朝" w:hAnsi="ＭＳ 明朝" w:hint="eastAsia"/>
          <w:szCs w:val="21"/>
        </w:rPr>
        <w:t>の毒性</w:t>
      </w:r>
      <w:r w:rsidR="00C4356E" w:rsidRPr="00C4356E">
        <w:rPr>
          <w:rFonts w:ascii="ＭＳ 明朝" w:hAnsi="ＭＳ 明朝" w:hint="eastAsia"/>
          <w:szCs w:val="21"/>
        </w:rPr>
        <w:t>データ</w:t>
      </w:r>
      <w:r w:rsidR="00EC2F55">
        <w:rPr>
          <w:rFonts w:ascii="ＭＳ 明朝" w:hAnsi="ＭＳ 明朝" w:hint="eastAsia"/>
          <w:szCs w:val="21"/>
        </w:rPr>
        <w:t>が</w:t>
      </w:r>
      <w:r w:rsidR="00C4356E" w:rsidRPr="00C4356E">
        <w:rPr>
          <w:rFonts w:ascii="ＭＳ 明朝" w:hAnsi="ＭＳ 明朝" w:hint="eastAsia"/>
          <w:szCs w:val="21"/>
        </w:rPr>
        <w:t>包括的にレビューされ、</w:t>
      </w:r>
      <w:r w:rsidR="00EC2F55">
        <w:rPr>
          <w:rFonts w:ascii="ＭＳ 明朝" w:hAnsi="ＭＳ 明朝" w:hint="eastAsia"/>
          <w:szCs w:val="21"/>
        </w:rPr>
        <w:t>かつ、</w:t>
      </w:r>
      <w:r w:rsidR="00C4356E" w:rsidRPr="00C4356E">
        <w:rPr>
          <w:rFonts w:ascii="ＭＳ 明朝" w:hAnsi="ＭＳ 明朝" w:hint="eastAsia"/>
          <w:szCs w:val="21"/>
        </w:rPr>
        <w:t>定量的</w:t>
      </w:r>
      <w:r w:rsidR="00EC2F55">
        <w:rPr>
          <w:rFonts w:ascii="ＭＳ 明朝" w:hAnsi="ＭＳ 明朝" w:hint="eastAsia"/>
          <w:szCs w:val="21"/>
        </w:rPr>
        <w:t>な</w:t>
      </w:r>
      <w:r w:rsidR="00C4356E" w:rsidRPr="00C4356E">
        <w:rPr>
          <w:rFonts w:ascii="ＭＳ 明朝" w:hAnsi="ＭＳ 明朝" w:hint="eastAsia"/>
          <w:szCs w:val="21"/>
        </w:rPr>
        <w:t>評価が実施された最も新しい評価書は、国外ではATSDR</w:t>
      </w:r>
      <w:r w:rsidR="00387EC6">
        <w:rPr>
          <w:rFonts w:ascii="ＭＳ 明朝" w:hAnsi="ＭＳ 明朝" w:hint="eastAsia"/>
          <w:szCs w:val="21"/>
        </w:rPr>
        <w:t>（2022）</w:t>
      </w:r>
      <w:r w:rsidR="00C4356E" w:rsidRPr="00C4356E">
        <w:rPr>
          <w:rFonts w:ascii="ＭＳ 明朝" w:hAnsi="ＭＳ 明朝" w:hint="eastAsia"/>
          <w:szCs w:val="21"/>
        </w:rPr>
        <w:t>、国内では食品安全委員会</w:t>
      </w:r>
      <w:r w:rsidR="00387EC6">
        <w:rPr>
          <w:rFonts w:ascii="ＭＳ 明朝" w:hAnsi="ＭＳ 明朝" w:hint="eastAsia"/>
          <w:szCs w:val="21"/>
        </w:rPr>
        <w:t>（2013）</w:t>
      </w:r>
      <w:r w:rsidR="00C4356E" w:rsidRPr="00C4356E">
        <w:rPr>
          <w:rFonts w:ascii="ＭＳ 明朝" w:hAnsi="ＭＳ 明朝" w:hint="eastAsia"/>
          <w:szCs w:val="21"/>
        </w:rPr>
        <w:t>によるものでした（その後に</w:t>
      </w:r>
      <w:r w:rsidR="00C4356E">
        <w:rPr>
          <w:rFonts w:ascii="ＭＳ 明朝" w:hAnsi="ＭＳ 明朝" w:hint="eastAsia"/>
          <w:szCs w:val="21"/>
        </w:rPr>
        <w:t>厚生</w:t>
      </w:r>
      <w:r w:rsidR="00C4356E" w:rsidRPr="00C4356E">
        <w:rPr>
          <w:rFonts w:ascii="ＭＳ 明朝" w:hAnsi="ＭＳ 明朝" w:cs="ＭＳ 明朝" w:hint="eastAsia"/>
          <w:szCs w:val="21"/>
        </w:rPr>
        <w:t>労働省による</w:t>
      </w:r>
      <w:r w:rsidR="00C4356E">
        <w:rPr>
          <w:rFonts w:ascii="ＭＳ 明朝" w:hAnsi="ＭＳ 明朝" w:cs="ＭＳ 明朝" w:hint="eastAsia"/>
          <w:szCs w:val="21"/>
        </w:rPr>
        <w:t>水質管理目標</w:t>
      </w:r>
      <w:r w:rsidR="00C4356E" w:rsidRPr="00C4356E">
        <w:rPr>
          <w:rFonts w:ascii="ＭＳ 明朝" w:hAnsi="ＭＳ 明朝" w:cs="ＭＳ 明朝" w:hint="eastAsia"/>
          <w:szCs w:val="21"/>
        </w:rPr>
        <w:t>値設定（厚労省</w:t>
      </w:r>
      <w:r w:rsidR="00C4356E" w:rsidRPr="00C4356E">
        <w:rPr>
          <w:rFonts w:ascii="ＭＳ 明朝" w:hAnsi="ＭＳ 明朝"/>
          <w:szCs w:val="21"/>
        </w:rPr>
        <w:t>, 2014</w:t>
      </w:r>
      <w:r w:rsidR="00C4356E" w:rsidRPr="00C4356E">
        <w:rPr>
          <w:rFonts w:ascii="ＭＳ 明朝" w:hAnsi="ＭＳ 明朝" w:hint="eastAsia"/>
          <w:szCs w:val="21"/>
        </w:rPr>
        <w:t>）、室内濃度指針値設定（厚労省</w:t>
      </w:r>
      <w:r w:rsidR="00C4356E" w:rsidRPr="00C4356E">
        <w:rPr>
          <w:rFonts w:ascii="ＭＳ 明朝" w:hAnsi="ＭＳ 明朝"/>
          <w:szCs w:val="21"/>
        </w:rPr>
        <w:t>, 2019</w:t>
      </w:r>
      <w:r w:rsidR="00C4356E" w:rsidRPr="00C4356E">
        <w:rPr>
          <w:rFonts w:ascii="ＭＳ 明朝" w:hAnsi="ＭＳ 明朝" w:hint="eastAsia"/>
          <w:szCs w:val="21"/>
        </w:rPr>
        <w:t>）及びミネラルウォーターの規格設定（厚労省</w:t>
      </w:r>
      <w:r w:rsidR="00C4356E" w:rsidRPr="00C4356E">
        <w:rPr>
          <w:rFonts w:ascii="ＭＳ 明朝" w:hAnsi="ＭＳ 明朝"/>
          <w:szCs w:val="21"/>
        </w:rPr>
        <w:t>, 2020</w:t>
      </w:r>
      <w:r w:rsidR="00C4356E" w:rsidRPr="00C4356E">
        <w:rPr>
          <w:rFonts w:ascii="ＭＳ 明朝" w:hAnsi="ＭＳ 明朝" w:hint="eastAsia"/>
          <w:szCs w:val="21"/>
        </w:rPr>
        <w:t>）</w:t>
      </w:r>
      <w:r w:rsidR="00387EC6">
        <w:rPr>
          <w:rFonts w:ascii="ＭＳ 明朝" w:hAnsi="ＭＳ 明朝" w:hint="eastAsia"/>
          <w:szCs w:val="21"/>
        </w:rPr>
        <w:t>が</w:t>
      </w:r>
      <w:r w:rsidR="00387EC6" w:rsidRPr="00C4356E">
        <w:rPr>
          <w:rFonts w:ascii="ＭＳ 明朝" w:hAnsi="ＭＳ 明朝" w:hint="eastAsia"/>
          <w:szCs w:val="21"/>
        </w:rPr>
        <w:t>公表され</w:t>
      </w:r>
      <w:r w:rsidR="00387EC6">
        <w:rPr>
          <w:rFonts w:ascii="ＭＳ 明朝" w:hAnsi="ＭＳ 明朝" w:hint="eastAsia"/>
          <w:szCs w:val="21"/>
        </w:rPr>
        <w:t>ていますが、</w:t>
      </w:r>
      <w:r w:rsidR="00C4356E" w:rsidRPr="00C4356E">
        <w:rPr>
          <w:rFonts w:ascii="ＭＳ 明朝" w:hAnsi="ＭＳ 明朝" w:hint="eastAsia"/>
          <w:szCs w:val="21"/>
        </w:rPr>
        <w:t>いずれも</w:t>
      </w:r>
      <w:r w:rsidR="00C4356E">
        <w:rPr>
          <w:rFonts w:ascii="ＭＳ 明朝" w:hAnsi="ＭＳ 明朝" w:hint="eastAsia"/>
          <w:szCs w:val="21"/>
        </w:rPr>
        <w:t>食品</w:t>
      </w:r>
      <w:r w:rsidR="00C4356E" w:rsidRPr="00C4356E">
        <w:rPr>
          <w:rFonts w:ascii="ＭＳ 明朝" w:hAnsi="ＭＳ 明朝" w:cs="ＭＳ 明朝" w:hint="eastAsia"/>
          <w:szCs w:val="21"/>
        </w:rPr>
        <w:t>安全委員会（</w:t>
      </w:r>
      <w:r w:rsidR="00C4356E" w:rsidRPr="00C4356E">
        <w:rPr>
          <w:rFonts w:ascii="ＭＳ 明朝" w:hAnsi="ＭＳ 明朝"/>
          <w:szCs w:val="21"/>
        </w:rPr>
        <w:t>2013</w:t>
      </w:r>
      <w:r w:rsidR="00C4356E" w:rsidRPr="00C4356E">
        <w:rPr>
          <w:rFonts w:ascii="ＭＳ 明朝" w:hAnsi="ＭＳ 明朝" w:hint="eastAsia"/>
          <w:szCs w:val="21"/>
        </w:rPr>
        <w:t>）の導出した</w:t>
      </w:r>
      <w:r w:rsidR="00C4356E" w:rsidRPr="00C4356E">
        <w:rPr>
          <w:rFonts w:ascii="ＭＳ 明朝" w:hAnsi="ＭＳ 明朝"/>
          <w:szCs w:val="21"/>
        </w:rPr>
        <w:t>TDI</w:t>
      </w:r>
      <w:r w:rsidR="00C4356E" w:rsidRPr="00C4356E">
        <w:rPr>
          <w:rFonts w:ascii="ＭＳ 明朝" w:hAnsi="ＭＳ 明朝" w:hint="eastAsia"/>
          <w:szCs w:val="21"/>
        </w:rPr>
        <w:t>を</w:t>
      </w:r>
      <w:r w:rsidR="00C4356E">
        <w:rPr>
          <w:rFonts w:ascii="ＭＳ 明朝" w:hAnsi="ＭＳ 明朝" w:hint="eastAsia"/>
          <w:szCs w:val="21"/>
        </w:rPr>
        <w:t>用いて</w:t>
      </w:r>
      <w:r w:rsidR="00387EC6">
        <w:rPr>
          <w:rFonts w:ascii="ＭＳ 明朝" w:hAnsi="ＭＳ 明朝" w:cs="ＭＳ 明朝" w:hint="eastAsia"/>
          <w:szCs w:val="21"/>
        </w:rPr>
        <w:t>います</w:t>
      </w:r>
      <w:r w:rsidR="00C4356E" w:rsidRPr="00C4356E">
        <w:rPr>
          <w:rFonts w:ascii="ＭＳ 明朝" w:hAnsi="ＭＳ 明朝" w:hint="eastAsia"/>
          <w:szCs w:val="21"/>
        </w:rPr>
        <w:t>）。</w:t>
      </w:r>
    </w:p>
    <w:p w14:paraId="2760EE7E" w14:textId="6588E141" w:rsidR="00EC2F55" w:rsidRDefault="00EC2F55" w:rsidP="00C56E75">
      <w:pPr>
        <w:ind w:left="357"/>
        <w:rPr>
          <w:rFonts w:ascii="ＭＳ 明朝" w:hAnsi="ＭＳ 明朝"/>
          <w:szCs w:val="21"/>
        </w:rPr>
      </w:pPr>
      <w:r>
        <w:rPr>
          <w:rFonts w:ascii="ＭＳ 明朝" w:hAnsi="ＭＳ 明朝" w:hint="eastAsia"/>
          <w:szCs w:val="21"/>
        </w:rPr>
        <w:t>DEHPの人健康影響に関する評価書は、</w:t>
      </w:r>
      <w:r w:rsidR="00F5136D">
        <w:rPr>
          <w:rFonts w:ascii="ＭＳ 明朝" w:hAnsi="ＭＳ 明朝" w:hint="eastAsia"/>
          <w:szCs w:val="21"/>
        </w:rPr>
        <w:t>20</w:t>
      </w:r>
      <w:r w:rsidR="003504A9">
        <w:rPr>
          <w:rFonts w:ascii="ＭＳ 明朝" w:hAnsi="ＭＳ 明朝" w:hint="eastAsia"/>
          <w:szCs w:val="21"/>
        </w:rPr>
        <w:t>20</w:t>
      </w:r>
      <w:r w:rsidR="00F5136D">
        <w:rPr>
          <w:rFonts w:ascii="ＭＳ 明朝" w:hAnsi="ＭＳ 明朝" w:hint="eastAsia"/>
          <w:szCs w:val="21"/>
        </w:rPr>
        <w:t>年に</w:t>
      </w:r>
      <w:r>
        <w:rPr>
          <w:rFonts w:ascii="ＭＳ 明朝" w:hAnsi="ＭＳ 明朝" w:hint="eastAsia"/>
          <w:szCs w:val="21"/>
        </w:rPr>
        <w:t>国が</w:t>
      </w:r>
      <w:r w:rsidR="00F5136D">
        <w:rPr>
          <w:rFonts w:ascii="ＭＳ 明朝" w:hAnsi="ＭＳ 明朝" w:hint="eastAsia"/>
          <w:szCs w:val="21"/>
        </w:rPr>
        <w:t>ATSDRからの情報を</w:t>
      </w:r>
      <w:r>
        <w:rPr>
          <w:rFonts w:ascii="ＭＳ 明朝" w:hAnsi="ＭＳ 明朝" w:hint="eastAsia"/>
          <w:szCs w:val="21"/>
        </w:rPr>
        <w:t>リスク評価Ⅰ</w:t>
      </w:r>
      <w:r w:rsidR="00F5136D">
        <w:rPr>
          <w:rFonts w:ascii="ＭＳ 明朝" w:hAnsi="ＭＳ 明朝" w:hint="eastAsia"/>
          <w:szCs w:val="21"/>
        </w:rPr>
        <w:t>へ採用しましたが、ATSDRより</w:t>
      </w:r>
      <w:r>
        <w:rPr>
          <w:rFonts w:ascii="ＭＳ 明朝" w:hAnsi="ＭＳ 明朝" w:hint="eastAsia"/>
          <w:szCs w:val="21"/>
        </w:rPr>
        <w:t>新しい評価書は公表されていないことがわかりました。</w:t>
      </w:r>
    </w:p>
    <w:p w14:paraId="292294EA" w14:textId="77777777" w:rsidR="00A039BB" w:rsidRDefault="00EC2F55" w:rsidP="00ED2AB5">
      <w:pPr>
        <w:ind w:left="357"/>
        <w:rPr>
          <w:rFonts w:ascii="ＭＳ 明朝" w:hAnsi="ＭＳ 明朝"/>
          <w:szCs w:val="21"/>
        </w:rPr>
      </w:pPr>
      <w:r>
        <w:rPr>
          <w:rFonts w:ascii="ＭＳ 明朝" w:hAnsi="ＭＳ 明朝" w:hint="eastAsia"/>
          <w:szCs w:val="21"/>
        </w:rPr>
        <w:t>また、</w:t>
      </w:r>
      <w:r w:rsidR="00C56E75">
        <w:rPr>
          <w:rFonts w:ascii="ＭＳ 明朝" w:hAnsi="ＭＳ 明朝" w:hint="eastAsia"/>
          <w:szCs w:val="21"/>
        </w:rPr>
        <w:t>新規文献は、最新の評価書ATSDR（2022）から2年遡って2020年以降（～2023年12月）とし、DEHPの一般毒性、生殖発生毒性、遺伝毒性、発がん性、内分泌かく乱作用に関する文献を調査しました。</w:t>
      </w:r>
    </w:p>
    <w:p w14:paraId="151ABDC7" w14:textId="183AF701" w:rsidR="00387EC6" w:rsidRDefault="00C56E75" w:rsidP="00A039BB">
      <w:pPr>
        <w:pStyle w:val="af"/>
        <w:numPr>
          <w:ilvl w:val="0"/>
          <w:numId w:val="5"/>
        </w:numPr>
        <w:ind w:leftChars="0" w:left="357" w:hanging="357"/>
        <w:rPr>
          <w:rFonts w:ascii="ＭＳ 明朝" w:hAnsi="ＭＳ 明朝"/>
          <w:szCs w:val="21"/>
        </w:rPr>
      </w:pPr>
      <w:r>
        <w:rPr>
          <w:rFonts w:ascii="ＭＳ 明朝" w:hAnsi="ＭＳ 明朝" w:hint="eastAsia"/>
          <w:szCs w:val="21"/>
        </w:rPr>
        <w:t>調査の結果、文献数は250報が検索されましたが、文献のタイトル</w:t>
      </w:r>
      <w:r w:rsidR="00ED2AB5">
        <w:rPr>
          <w:rFonts w:ascii="ＭＳ 明朝" w:hAnsi="ＭＳ 明朝" w:hint="eastAsia"/>
          <w:szCs w:val="21"/>
        </w:rPr>
        <w:t>、</w:t>
      </w:r>
      <w:r>
        <w:rPr>
          <w:rFonts w:ascii="ＭＳ 明朝" w:hAnsi="ＭＳ 明朝" w:hint="eastAsia"/>
          <w:szCs w:val="21"/>
        </w:rPr>
        <w:t>要約</w:t>
      </w:r>
      <w:r w:rsidR="00ED2AB5">
        <w:rPr>
          <w:rFonts w:ascii="ＭＳ 明朝" w:hAnsi="ＭＳ 明朝" w:hint="eastAsia"/>
          <w:szCs w:val="21"/>
        </w:rPr>
        <w:t>から</w:t>
      </w:r>
      <w:r w:rsidR="00E82F86">
        <w:rPr>
          <w:rFonts w:ascii="ＭＳ 明朝" w:hAnsi="ＭＳ 明朝" w:hint="eastAsia"/>
          <w:szCs w:val="21"/>
        </w:rPr>
        <w:t>21</w:t>
      </w:r>
      <w:r w:rsidR="00ED2AB5">
        <w:rPr>
          <w:rFonts w:ascii="ＭＳ 明朝" w:hAnsi="ＭＳ 明朝" w:hint="eastAsia"/>
          <w:szCs w:val="21"/>
        </w:rPr>
        <w:t>報へ絞り込み</w:t>
      </w:r>
      <w:r w:rsidR="005E71BA">
        <w:rPr>
          <w:rFonts w:ascii="ＭＳ 明朝" w:hAnsi="ＭＳ 明朝" w:hint="eastAsia"/>
          <w:szCs w:val="21"/>
        </w:rPr>
        <w:t>ました。</w:t>
      </w:r>
    </w:p>
    <w:p w14:paraId="713AB06A" w14:textId="3411F558" w:rsidR="001A0A95" w:rsidRPr="00A039BB" w:rsidRDefault="00E82F86" w:rsidP="00BD5CD3">
      <w:pPr>
        <w:pStyle w:val="af"/>
        <w:numPr>
          <w:ilvl w:val="0"/>
          <w:numId w:val="5"/>
        </w:numPr>
        <w:ind w:leftChars="0" w:left="357" w:hanging="357"/>
      </w:pPr>
      <w:r w:rsidRPr="001A0A95">
        <w:rPr>
          <w:rFonts w:ascii="ＭＳ 明朝" w:hAnsi="ＭＳ 明朝" w:hint="eastAsia"/>
          <w:szCs w:val="21"/>
        </w:rPr>
        <w:t>21</w:t>
      </w:r>
      <w:r w:rsidR="00DA6972" w:rsidRPr="001A0A95">
        <w:rPr>
          <w:rFonts w:ascii="ＭＳ 明朝" w:hAnsi="ＭＳ 明朝" w:hint="eastAsia"/>
          <w:szCs w:val="21"/>
        </w:rPr>
        <w:t>報に</w:t>
      </w:r>
      <w:r w:rsidRPr="001A0A95">
        <w:rPr>
          <w:rFonts w:ascii="ＭＳ 明朝" w:hAnsi="ＭＳ 明朝" w:hint="eastAsia"/>
          <w:szCs w:val="21"/>
        </w:rPr>
        <w:t>対して</w:t>
      </w:r>
      <w:r w:rsidR="001A0A95" w:rsidRPr="001A0A95">
        <w:rPr>
          <w:rFonts w:ascii="ＭＳ 明朝" w:hAnsi="ＭＳ 明朝" w:hint="eastAsia"/>
          <w:szCs w:val="21"/>
        </w:rPr>
        <w:t>「化審法のスクリーニング評価及びリスク評価（一次）</w:t>
      </w:r>
      <w:r w:rsidR="00D50791">
        <w:rPr>
          <w:rFonts w:ascii="ＭＳ 明朝" w:hAnsi="ＭＳ 明朝" w:hint="eastAsia"/>
          <w:szCs w:val="21"/>
        </w:rPr>
        <w:t>リスク</w:t>
      </w:r>
      <w:r w:rsidR="001A0A95" w:rsidRPr="001A0A95">
        <w:rPr>
          <w:rFonts w:ascii="ＭＳ 明朝" w:hAnsi="ＭＳ 明朝" w:hint="eastAsia"/>
          <w:szCs w:val="21"/>
        </w:rPr>
        <w:t>評価Ⅰに用いる性状データの信頼性評価等の基本的な考え方（平成23年9月15日）</w:t>
      </w:r>
      <w:r w:rsidR="00BD5CD3">
        <w:rPr>
          <w:rFonts w:ascii="ＭＳ 明朝" w:hAnsi="ＭＳ 明朝" w:hint="eastAsia"/>
          <w:szCs w:val="21"/>
          <w:vertAlign w:val="superscript"/>
        </w:rPr>
        <w:t>7</w:t>
      </w:r>
      <w:r w:rsidR="00526877" w:rsidRPr="00526877">
        <w:rPr>
          <w:rFonts w:ascii="ＭＳ 明朝" w:hAnsi="ＭＳ 明朝" w:hint="eastAsia"/>
          <w:szCs w:val="21"/>
          <w:vertAlign w:val="superscript"/>
        </w:rPr>
        <w:t>)</w:t>
      </w:r>
      <w:r w:rsidR="001A0A95" w:rsidRPr="001A0A95">
        <w:rPr>
          <w:rFonts w:ascii="ＭＳ 明朝" w:hAnsi="ＭＳ 明朝" w:hint="eastAsia"/>
          <w:szCs w:val="21"/>
        </w:rPr>
        <w:t>」</w:t>
      </w:r>
      <w:r w:rsidRPr="001A0A95">
        <w:rPr>
          <w:rFonts w:ascii="ＭＳ 明朝" w:hAnsi="ＭＳ 明朝" w:hint="eastAsia"/>
          <w:szCs w:val="21"/>
        </w:rPr>
        <w:t>従った信頼性の評価を行いました。</w:t>
      </w:r>
      <w:r w:rsidR="001A0A95" w:rsidRPr="001A0A95">
        <w:rPr>
          <w:rFonts w:ascii="ＭＳ 明朝" w:hAnsi="ＭＳ 明朝" w:hint="eastAsia"/>
          <w:szCs w:val="21"/>
        </w:rPr>
        <w:t>これは</w:t>
      </w:r>
      <w:r w:rsidR="00B63C4F" w:rsidRPr="001A0A95">
        <w:rPr>
          <w:rFonts w:ascii="ＭＳ 明朝" w:hAnsi="ＭＳ 明朝" w:hint="eastAsia"/>
          <w:szCs w:val="21"/>
        </w:rPr>
        <w:t>信頼性のランクを4段階で評価するもので</w:t>
      </w:r>
      <w:r w:rsidR="00BD5CD3">
        <w:rPr>
          <w:rFonts w:ascii="ＭＳ 明朝" w:hAnsi="ＭＳ 明朝" w:hint="eastAsia"/>
          <w:szCs w:val="21"/>
        </w:rPr>
        <w:t>、</w:t>
      </w:r>
      <w:r w:rsidR="001A0A95" w:rsidRPr="00BD5CD3">
        <w:rPr>
          <w:rFonts w:ascii="ＭＳ 明朝" w:hAnsi="ＭＳ 明朝" w:hint="eastAsia"/>
          <w:szCs w:val="21"/>
        </w:rPr>
        <w:t>それぞれの判定基準を表4示しました</w:t>
      </w:r>
      <w:r w:rsidR="00BD5CD3">
        <w:rPr>
          <w:rFonts w:ascii="ＭＳ 明朝" w:hAnsi="ＭＳ 明朝" w:hint="eastAsia"/>
          <w:szCs w:val="21"/>
        </w:rPr>
        <w:t>。</w:t>
      </w:r>
      <w:r w:rsidR="001A0A95" w:rsidRPr="00BD5CD3">
        <w:rPr>
          <w:rFonts w:ascii="ＭＳ 明朝" w:hAnsi="ＭＳ 明朝" w:hint="eastAsia"/>
          <w:szCs w:val="21"/>
        </w:rPr>
        <w:t>化審法のリスク評価では信頼性ランク = 1および2の文献が提供される可能性があります。21報に対しては、信頼性スコ</w:t>
      </w:r>
      <w:r w:rsidR="001A0A95" w:rsidRPr="00BD5CD3">
        <w:rPr>
          <w:rFonts w:ascii="ＭＳ 明朝" w:hAnsi="ＭＳ 明朝" w:hint="eastAsia"/>
          <w:szCs w:val="21"/>
        </w:rPr>
        <w:lastRenderedPageBreak/>
        <w:t>ア=1と評価される文献はなく、信頼性スコア=2に該当する文献を15報抽出しました。また、15報のうち11報は1 mg/kg/d未満と非常に低い用量が設定されていました。</w:t>
      </w:r>
      <w:r w:rsidR="00F3246A">
        <w:rPr>
          <w:rFonts w:ascii="ＭＳ 明朝" w:hAnsi="ＭＳ 明朝" w:hint="eastAsia"/>
          <w:szCs w:val="21"/>
        </w:rPr>
        <w:t>これらの文献が</w:t>
      </w:r>
      <w:r w:rsidR="001A0A95" w:rsidRPr="00BD5CD3">
        <w:rPr>
          <w:rFonts w:ascii="ＭＳ 明朝" w:hAnsi="ＭＳ 明朝" w:hint="eastAsia"/>
          <w:szCs w:val="21"/>
        </w:rPr>
        <w:t>化審法評価に採用された場合、D値は0.0001 mg/kg/d（Zhang</w:t>
      </w:r>
      <w:r w:rsidR="00F3246A">
        <w:rPr>
          <w:rFonts w:ascii="ＭＳ 明朝" w:hAnsi="ＭＳ 明朝" w:hint="eastAsia"/>
          <w:szCs w:val="21"/>
        </w:rPr>
        <w:t xml:space="preserve"> et al</w:t>
      </w:r>
      <w:r w:rsidR="001A0A95" w:rsidRPr="00BD5CD3">
        <w:rPr>
          <w:rFonts w:ascii="ＭＳ 明朝" w:hAnsi="ＭＳ 明朝" w:hint="eastAsia"/>
          <w:szCs w:val="21"/>
        </w:rPr>
        <w:t>、2015）を下回ることになるため注意を要すると考え、これら11報を要注意論文として</w:t>
      </w:r>
      <w:r w:rsidR="00A039BB" w:rsidRPr="00BD5CD3">
        <w:rPr>
          <w:rFonts w:ascii="ＭＳ 明朝" w:hAnsi="ＭＳ 明朝" w:hint="eastAsia"/>
          <w:szCs w:val="21"/>
        </w:rPr>
        <w:t>選定しました。</w:t>
      </w:r>
    </w:p>
    <w:p w14:paraId="39533024" w14:textId="685D4E88" w:rsidR="00A039BB" w:rsidRPr="00BD5CD3" w:rsidRDefault="00A039BB" w:rsidP="00A039BB"/>
    <w:p w14:paraId="12113100" w14:textId="252D005F" w:rsidR="00A039BB" w:rsidRPr="00A039BB" w:rsidRDefault="00A039BB" w:rsidP="00A039BB">
      <w:pPr>
        <w:rPr>
          <w:rFonts w:ascii="ＭＳ 明朝" w:hAnsi="ＭＳ 明朝"/>
          <w:szCs w:val="21"/>
        </w:rPr>
      </w:pPr>
      <w:r w:rsidRPr="00A039BB">
        <w:rPr>
          <w:rFonts w:ascii="ＭＳ 明朝" w:hAnsi="ＭＳ 明朝" w:hint="eastAsia"/>
          <w:szCs w:val="21"/>
        </w:rPr>
        <w:t>表4　性状データの信頼性基準</w:t>
      </w:r>
    </w:p>
    <w:p w14:paraId="60B73749" w14:textId="49172918" w:rsidR="00A039BB" w:rsidRPr="00A039BB" w:rsidRDefault="00A039BB" w:rsidP="00A039BB">
      <w:r w:rsidRPr="00B63C4F">
        <w:rPr>
          <w:rFonts w:ascii="ＭＳ 明朝" w:hAnsi="ＭＳ 明朝"/>
          <w:noProof/>
          <w:szCs w:val="21"/>
        </w:rPr>
        <w:drawing>
          <wp:inline distT="0" distB="0" distL="0" distR="0" wp14:anchorId="23DF15AC" wp14:editId="0AFD381F">
            <wp:extent cx="3052445" cy="1520190"/>
            <wp:effectExtent l="0" t="0" r="0" b="3810"/>
            <wp:docPr id="50672857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728574" name=""/>
                    <pic:cNvPicPr/>
                  </pic:nvPicPr>
                  <pic:blipFill>
                    <a:blip r:embed="rId11"/>
                    <a:stretch>
                      <a:fillRect/>
                    </a:stretch>
                  </pic:blipFill>
                  <pic:spPr>
                    <a:xfrm>
                      <a:off x="0" y="0"/>
                      <a:ext cx="3052445" cy="1520190"/>
                    </a:xfrm>
                    <a:prstGeom prst="rect">
                      <a:avLst/>
                    </a:prstGeom>
                  </pic:spPr>
                </pic:pic>
              </a:graphicData>
            </a:graphic>
          </wp:inline>
        </w:drawing>
      </w:r>
    </w:p>
    <w:p w14:paraId="242591A1" w14:textId="77777777" w:rsidR="00A039BB" w:rsidRDefault="00A039BB" w:rsidP="00A039BB"/>
    <w:p w14:paraId="6AFB2E4A" w14:textId="21EDD064" w:rsidR="00B277FA" w:rsidRDefault="00A039BB" w:rsidP="00B277FA">
      <w:pPr>
        <w:ind w:leftChars="204" w:left="392"/>
        <w:rPr>
          <w:rFonts w:ascii="ＭＳ 明朝" w:hAnsi="ＭＳ 明朝"/>
          <w:szCs w:val="21"/>
        </w:rPr>
      </w:pPr>
      <w:r w:rsidRPr="00A039BB">
        <w:rPr>
          <w:rFonts w:ascii="ＭＳ 明朝" w:hAnsi="ＭＳ 明朝" w:hint="eastAsia"/>
          <w:szCs w:val="21"/>
        </w:rPr>
        <w:t>要注意論文</w:t>
      </w:r>
      <w:r w:rsidR="009965B2">
        <w:rPr>
          <w:rFonts w:ascii="ＭＳ 明朝" w:hAnsi="ＭＳ 明朝" w:hint="eastAsia"/>
          <w:szCs w:val="21"/>
        </w:rPr>
        <w:t>とした</w:t>
      </w:r>
      <w:r w:rsidRPr="00A039BB">
        <w:rPr>
          <w:rFonts w:ascii="ＭＳ 明朝" w:hAnsi="ＭＳ 明朝" w:hint="eastAsia"/>
          <w:szCs w:val="21"/>
        </w:rPr>
        <w:t>11報に対しては、</w:t>
      </w:r>
      <w:r>
        <w:rPr>
          <w:rFonts w:ascii="ＭＳ 明朝" w:hAnsi="ＭＳ 明朝" w:hint="eastAsia"/>
          <w:szCs w:val="21"/>
        </w:rPr>
        <w:t>D値の試算を行うため、</w:t>
      </w:r>
      <w:r w:rsidR="007636D7">
        <w:rPr>
          <w:rFonts w:ascii="ＭＳ 明朝" w:hAnsi="ＭＳ 明朝" w:hint="eastAsia"/>
          <w:szCs w:val="21"/>
        </w:rPr>
        <w:t>さらに詳細を確認することにしました。11報のうち、エンドポイントが</w:t>
      </w:r>
      <w:r w:rsidR="00F3246A">
        <w:rPr>
          <w:rFonts w:ascii="ＭＳ 明朝" w:hAnsi="ＭＳ 明朝" w:hint="eastAsia"/>
          <w:szCs w:val="21"/>
        </w:rPr>
        <w:t>明らかになっており</w:t>
      </w:r>
      <w:r w:rsidR="007636D7">
        <w:rPr>
          <w:rFonts w:ascii="ＭＳ 明朝" w:hAnsi="ＭＳ 明朝" w:hint="eastAsia"/>
          <w:szCs w:val="21"/>
        </w:rPr>
        <w:t>、かつ、D値が0.0001 mg/kg/dに近似すると考えられた7報</w:t>
      </w:r>
      <w:r w:rsidR="00A257C0">
        <w:rPr>
          <w:rFonts w:ascii="ＭＳ 明朝" w:hAnsi="ＭＳ 明朝" w:hint="eastAsia"/>
          <w:szCs w:val="21"/>
        </w:rPr>
        <w:t>、また関連する2報</w:t>
      </w:r>
      <w:r w:rsidR="007636D7">
        <w:rPr>
          <w:rFonts w:ascii="ＭＳ 明朝" w:hAnsi="ＭＳ 明朝" w:hint="eastAsia"/>
          <w:szCs w:val="21"/>
        </w:rPr>
        <w:t>について</w:t>
      </w:r>
      <w:r w:rsidR="00F3246A">
        <w:rPr>
          <w:rFonts w:ascii="ＭＳ 明朝" w:hAnsi="ＭＳ 明朝" w:hint="eastAsia"/>
          <w:szCs w:val="21"/>
        </w:rPr>
        <w:t>、</w:t>
      </w:r>
      <w:r w:rsidR="007636D7">
        <w:rPr>
          <w:rFonts w:ascii="ＭＳ 明朝" w:hAnsi="ＭＳ 明朝" w:hint="eastAsia"/>
          <w:szCs w:val="21"/>
        </w:rPr>
        <w:t>どのような</w:t>
      </w:r>
      <w:r w:rsidR="00D66135">
        <w:rPr>
          <w:rFonts w:ascii="ＭＳ 明朝" w:hAnsi="ＭＳ 明朝" w:hint="eastAsia"/>
          <w:szCs w:val="21"/>
        </w:rPr>
        <w:t>有害性</w:t>
      </w:r>
      <w:r w:rsidR="00F3246A">
        <w:rPr>
          <w:rFonts w:ascii="ＭＳ 明朝" w:hAnsi="ＭＳ 明朝" w:hint="eastAsia"/>
          <w:szCs w:val="21"/>
        </w:rPr>
        <w:t>で</w:t>
      </w:r>
      <w:r w:rsidR="00D66135">
        <w:rPr>
          <w:rFonts w:ascii="ＭＳ 明朝" w:hAnsi="ＭＳ 明朝" w:hint="eastAsia"/>
          <w:szCs w:val="21"/>
        </w:rPr>
        <w:t>有意な影響がみられたのかを中心に</w:t>
      </w:r>
      <w:r w:rsidR="00EC1FAE">
        <w:rPr>
          <w:rFonts w:ascii="ＭＳ 明朝" w:hAnsi="ＭＳ 明朝" w:hint="eastAsia"/>
          <w:szCs w:val="21"/>
        </w:rPr>
        <w:t>評価を行いました</w:t>
      </w:r>
      <w:r w:rsidR="00B2288A">
        <w:rPr>
          <w:rFonts w:ascii="ＭＳ 明朝" w:hAnsi="ＭＳ 明朝" w:hint="eastAsia"/>
          <w:szCs w:val="21"/>
        </w:rPr>
        <w:t>。</w:t>
      </w:r>
      <w:r w:rsidR="00EC1FAE">
        <w:rPr>
          <w:rFonts w:ascii="ＭＳ 明朝" w:hAnsi="ＭＳ 明朝" w:hint="eastAsia"/>
          <w:szCs w:val="21"/>
        </w:rPr>
        <w:t>どの実験結果にも明らかな再現性がみられていなかったため、用量－反応関係について慎重に考察する必要があると考えられました。</w:t>
      </w:r>
      <w:r w:rsidR="00F52DC4">
        <w:rPr>
          <w:rFonts w:ascii="ＭＳ 明朝" w:hAnsi="ＭＳ 明朝" w:hint="eastAsia"/>
          <w:szCs w:val="21"/>
        </w:rPr>
        <w:t>つまり、逆U字曲線（※3）を示すとすれば、用量が少なくなれば毒性反応も小さくなる従来の概念に基づくことができなくなります。</w:t>
      </w:r>
    </w:p>
    <w:p w14:paraId="77F1FA9C" w14:textId="77777777" w:rsidR="00B277FA" w:rsidRDefault="00B277FA" w:rsidP="00B277FA">
      <w:pPr>
        <w:ind w:leftChars="204" w:left="392"/>
        <w:rPr>
          <w:rFonts w:ascii="ＭＳ 明朝" w:hAnsi="ＭＳ 明朝"/>
          <w:szCs w:val="21"/>
        </w:rPr>
      </w:pPr>
      <w:r>
        <w:rPr>
          <w:rFonts w:ascii="ＭＳ 明朝" w:hAnsi="ＭＳ 明朝" w:hint="eastAsia"/>
          <w:szCs w:val="21"/>
        </w:rPr>
        <w:t>化審法で設定するD値は、1日あたり許容摂取量なので、今回の文献からはD値を確定するのは困難と考えました。つまり、2023年12月までに公開された新規文献に対してキースタディとなり得る文献は確認されませんでした。</w:t>
      </w:r>
    </w:p>
    <w:p w14:paraId="609E2A46" w14:textId="2DA39759" w:rsidR="00B277FA" w:rsidRPr="00B277FA" w:rsidRDefault="00B277FA" w:rsidP="00B277FA">
      <w:pPr>
        <w:ind w:leftChars="204" w:left="392" w:firstLineChars="200" w:firstLine="285"/>
        <w:rPr>
          <w:rFonts w:ascii="ＭＳ 明朝" w:hAnsi="ＭＳ 明朝"/>
          <w:szCs w:val="21"/>
        </w:rPr>
      </w:pPr>
      <w:r w:rsidRPr="00B2288A">
        <w:rPr>
          <w:rFonts w:ascii="ＭＳ 明朝" w:hAnsi="ＭＳ 明朝" w:hint="eastAsia"/>
          <w:sz w:val="16"/>
          <w:szCs w:val="16"/>
        </w:rPr>
        <w:t>（</w:t>
      </w:r>
      <w:r w:rsidRPr="00526877">
        <w:rPr>
          <w:rFonts w:ascii="ＭＳ 明朝" w:hAnsi="ＭＳ 明朝" w:hint="eastAsia"/>
          <w:sz w:val="16"/>
          <w:szCs w:val="16"/>
        </w:rPr>
        <w:t>※3）ある用量域で影響が強くみられ，それより低用量域や</w:t>
      </w:r>
      <w:r>
        <w:rPr>
          <w:rFonts w:ascii="ＭＳ 明朝" w:hAnsi="ＭＳ 明朝" w:hint="eastAsia"/>
          <w:sz w:val="16"/>
          <w:szCs w:val="16"/>
        </w:rPr>
        <w:t xml:space="preserve">　</w:t>
      </w:r>
    </w:p>
    <w:p w14:paraId="2EC89AB2" w14:textId="77777777" w:rsidR="00B277FA" w:rsidRDefault="00B277FA" w:rsidP="00B277FA">
      <w:pPr>
        <w:ind w:firstLineChars="900" w:firstLine="1280"/>
        <w:jc w:val="left"/>
        <w:rPr>
          <w:rFonts w:ascii="ＭＳ 明朝" w:hAnsi="ＭＳ 明朝"/>
          <w:sz w:val="16"/>
          <w:szCs w:val="16"/>
        </w:rPr>
      </w:pPr>
      <w:r w:rsidRPr="00526877">
        <w:rPr>
          <w:rFonts w:ascii="ＭＳ 明朝" w:hAnsi="ＭＳ 明朝" w:hint="eastAsia"/>
          <w:sz w:val="16"/>
          <w:szCs w:val="16"/>
        </w:rPr>
        <w:t>高用量域では影響が軽微な反応曲線</w:t>
      </w:r>
    </w:p>
    <w:p w14:paraId="648CD932" w14:textId="1B5CB3F7" w:rsidR="00554449" w:rsidRDefault="00554449" w:rsidP="00D253CB">
      <w:pPr>
        <w:ind w:firstLineChars="100" w:firstLine="192"/>
        <w:rPr>
          <w:rFonts w:ascii="ＭＳ 明朝" w:hAnsi="ＭＳ 明朝"/>
          <w:szCs w:val="21"/>
        </w:rPr>
      </w:pPr>
    </w:p>
    <w:p w14:paraId="6E5BF278" w14:textId="77777777" w:rsidR="00B277FA" w:rsidRDefault="00B277FA" w:rsidP="00B277FA">
      <w:pPr>
        <w:rPr>
          <w:rFonts w:ascii="ＭＳ 明朝" w:hAnsi="ＭＳ 明朝"/>
          <w:szCs w:val="21"/>
        </w:rPr>
      </w:pPr>
      <w:r>
        <w:rPr>
          <w:rFonts w:ascii="ＭＳ 明朝" w:hAnsi="ＭＳ 明朝" w:hint="eastAsia"/>
          <w:szCs w:val="21"/>
        </w:rPr>
        <w:t>５．JPIAの今後の活動</w:t>
      </w:r>
    </w:p>
    <w:p w14:paraId="5871E126" w14:textId="77777777" w:rsidR="00B277FA" w:rsidRDefault="00B277FA" w:rsidP="00B277FA">
      <w:pPr>
        <w:ind w:firstLineChars="100" w:firstLine="192"/>
        <w:rPr>
          <w:rFonts w:ascii="ＭＳ 明朝" w:hAnsi="ＭＳ 明朝"/>
          <w:szCs w:val="21"/>
        </w:rPr>
      </w:pPr>
      <w:r>
        <w:rPr>
          <w:rFonts w:ascii="ＭＳ 明朝" w:hAnsi="ＭＳ 明朝" w:hint="eastAsia"/>
          <w:szCs w:val="21"/>
        </w:rPr>
        <w:t>引き続き、キースタディとなり得る文献の有無を調査するとともに、信頼性に対する意見を前広に準備し、タイムリーな情報提供に努めていきます。</w:t>
      </w:r>
    </w:p>
    <w:p w14:paraId="7EC555AA" w14:textId="3AB03C94" w:rsidR="00CA6B28" w:rsidRDefault="00CA6B28" w:rsidP="00D253CB">
      <w:pPr>
        <w:ind w:firstLineChars="100" w:firstLine="192"/>
        <w:rPr>
          <w:rFonts w:ascii="ＭＳ 明朝" w:hAnsi="ＭＳ 明朝"/>
          <w:szCs w:val="21"/>
        </w:rPr>
      </w:pPr>
    </w:p>
    <w:p w14:paraId="5AA45068" w14:textId="77777777" w:rsidR="00550741" w:rsidRDefault="00550741" w:rsidP="00D253CB">
      <w:pPr>
        <w:ind w:firstLineChars="100" w:firstLine="192"/>
        <w:rPr>
          <w:rFonts w:ascii="ＭＳ 明朝" w:hAnsi="ＭＳ 明朝"/>
          <w:szCs w:val="21"/>
        </w:rPr>
      </w:pPr>
    </w:p>
    <w:p w14:paraId="5916B0A3" w14:textId="77777777" w:rsidR="00550741" w:rsidRDefault="00550741" w:rsidP="00D253CB">
      <w:pPr>
        <w:ind w:firstLineChars="100" w:firstLine="192"/>
        <w:rPr>
          <w:rFonts w:ascii="ＭＳ 明朝" w:hAnsi="ＭＳ 明朝"/>
          <w:szCs w:val="21"/>
        </w:rPr>
      </w:pPr>
    </w:p>
    <w:p w14:paraId="10DE9666" w14:textId="3C0B9E36" w:rsidR="00550741" w:rsidRDefault="003E2DAF" w:rsidP="00CA6B28">
      <w:pPr>
        <w:rPr>
          <w:rFonts w:ascii="ＭＳ 明朝" w:hAnsi="ＭＳ 明朝"/>
          <w:szCs w:val="21"/>
        </w:rPr>
      </w:pPr>
      <w:r>
        <w:rPr>
          <w:rFonts w:ascii="ＭＳ 明朝" w:hAnsi="ＭＳ 明朝" w:hint="eastAsia"/>
          <w:szCs w:val="21"/>
        </w:rPr>
        <w:t>表5 キースタディとなるかどうかを確認した9報</w:t>
      </w:r>
    </w:p>
    <w:p w14:paraId="191E861E" w14:textId="67D14BB1" w:rsidR="00550741" w:rsidRDefault="00550741" w:rsidP="00CA6B28">
      <w:pPr>
        <w:rPr>
          <w:rFonts w:ascii="ＭＳ 明朝" w:hAnsi="ＭＳ 明朝"/>
          <w:szCs w:val="21"/>
        </w:rPr>
      </w:pPr>
      <w:r w:rsidRPr="00550741">
        <w:rPr>
          <w:rFonts w:ascii="ＭＳ 明朝" w:hAnsi="ＭＳ 明朝"/>
          <w:noProof/>
          <w:szCs w:val="21"/>
        </w:rPr>
        <w:drawing>
          <wp:inline distT="0" distB="0" distL="0" distR="0" wp14:anchorId="6351B817" wp14:editId="773B0B36">
            <wp:extent cx="3052445" cy="2453640"/>
            <wp:effectExtent l="0" t="0" r="0" b="3810"/>
            <wp:docPr id="49519870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198703" name=""/>
                    <pic:cNvPicPr/>
                  </pic:nvPicPr>
                  <pic:blipFill>
                    <a:blip r:embed="rId12"/>
                    <a:stretch>
                      <a:fillRect/>
                    </a:stretch>
                  </pic:blipFill>
                  <pic:spPr>
                    <a:xfrm>
                      <a:off x="0" y="0"/>
                      <a:ext cx="3052445" cy="2453640"/>
                    </a:xfrm>
                    <a:prstGeom prst="rect">
                      <a:avLst/>
                    </a:prstGeom>
                  </pic:spPr>
                </pic:pic>
              </a:graphicData>
            </a:graphic>
          </wp:inline>
        </w:drawing>
      </w:r>
    </w:p>
    <w:p w14:paraId="38CB5EA3" w14:textId="77777777" w:rsidR="00550741" w:rsidRDefault="00550741" w:rsidP="00CA6B28">
      <w:pPr>
        <w:rPr>
          <w:rFonts w:ascii="ＭＳ 明朝" w:hAnsi="ＭＳ 明朝"/>
          <w:szCs w:val="21"/>
        </w:rPr>
      </w:pPr>
    </w:p>
    <w:p w14:paraId="7A6FE26A" w14:textId="77777777" w:rsidR="00550741" w:rsidRDefault="00550741" w:rsidP="00CA6B28">
      <w:pPr>
        <w:rPr>
          <w:rFonts w:ascii="ＭＳ 明朝" w:hAnsi="ＭＳ 明朝"/>
          <w:szCs w:val="21"/>
        </w:rPr>
      </w:pPr>
    </w:p>
    <w:p w14:paraId="6A04DD76" w14:textId="430BDA88" w:rsidR="0062324E" w:rsidRPr="002D2AD4" w:rsidRDefault="0062324E" w:rsidP="00CA6B28">
      <w:pPr>
        <w:rPr>
          <w:rFonts w:ascii="ＭＳ 明朝" w:hAnsi="ＭＳ 明朝"/>
          <w:szCs w:val="21"/>
        </w:rPr>
      </w:pPr>
      <w:r w:rsidRPr="002D2AD4">
        <w:rPr>
          <w:rFonts w:ascii="ＭＳ 明朝" w:hAnsi="ＭＳ 明朝" w:hint="eastAsia"/>
          <w:szCs w:val="21"/>
        </w:rPr>
        <w:t>&lt;参考文献&gt;</w:t>
      </w:r>
    </w:p>
    <w:p w14:paraId="509E2592" w14:textId="5E142608" w:rsidR="00B277FA" w:rsidRPr="00B277FA" w:rsidRDefault="00526877" w:rsidP="00B277FA">
      <w:pPr>
        <w:pStyle w:val="af"/>
        <w:numPr>
          <w:ilvl w:val="0"/>
          <w:numId w:val="9"/>
        </w:numPr>
        <w:ind w:leftChars="0"/>
        <w:jc w:val="left"/>
        <w:rPr>
          <w:rFonts w:ascii="ＭＳ 明朝" w:hAnsi="ＭＳ 明朝" w:cs="Arial"/>
          <w:bCs/>
          <w:spacing w:val="0"/>
          <w:kern w:val="24"/>
          <w:sz w:val="16"/>
          <w:szCs w:val="16"/>
        </w:rPr>
      </w:pPr>
      <w:r w:rsidRPr="00B277FA">
        <w:rPr>
          <w:rFonts w:ascii="ＭＳ 明朝" w:hAnsi="ＭＳ 明朝" w:cs="Arial" w:hint="eastAsia"/>
          <w:bCs/>
          <w:spacing w:val="0"/>
          <w:kern w:val="24"/>
          <w:sz w:val="16"/>
          <w:szCs w:val="16"/>
        </w:rPr>
        <w:t>優先評価化学物質のリスク評価ステー</w:t>
      </w:r>
      <w:r w:rsidR="00C8787F" w:rsidRPr="00B277FA">
        <w:rPr>
          <w:rFonts w:ascii="ＭＳ 明朝" w:hAnsi="ＭＳ 明朝" w:cs="Arial" w:hint="eastAsia"/>
          <w:bCs/>
          <w:spacing w:val="0"/>
          <w:kern w:val="24"/>
          <w:sz w:val="16"/>
          <w:szCs w:val="16"/>
        </w:rPr>
        <w:t>ジ</w:t>
      </w:r>
    </w:p>
    <w:p w14:paraId="7E43C3AD" w14:textId="173CE028" w:rsidR="00B277FA" w:rsidRDefault="00C8787F" w:rsidP="00B277FA">
      <w:pPr>
        <w:ind w:firstLineChars="100" w:firstLine="152"/>
        <w:jc w:val="left"/>
        <w:rPr>
          <w:rFonts w:ascii="ＭＳ 明朝" w:hAnsi="ＭＳ 明朝" w:cs="Arial"/>
          <w:bCs/>
          <w:spacing w:val="0"/>
          <w:kern w:val="24"/>
          <w:sz w:val="16"/>
          <w:szCs w:val="16"/>
        </w:rPr>
      </w:pPr>
      <w:r w:rsidRPr="00B277FA">
        <w:rPr>
          <w:rFonts w:ascii="ＭＳ 明朝" w:hAnsi="ＭＳ 明朝" w:cs="Arial" w:hint="eastAsia"/>
          <w:bCs/>
          <w:spacing w:val="0"/>
          <w:kern w:val="24"/>
          <w:sz w:val="16"/>
          <w:szCs w:val="16"/>
        </w:rPr>
        <w:t>（</w:t>
      </w:r>
      <w:r w:rsidR="00B277FA" w:rsidRPr="00B277FA">
        <w:rPr>
          <w:rFonts w:ascii="ＭＳ 明朝" w:hAnsi="ＭＳ 明朝" w:cs="Arial"/>
          <w:bCs/>
          <w:spacing w:val="0"/>
          <w:kern w:val="24"/>
          <w:sz w:val="16"/>
          <w:szCs w:val="16"/>
        </w:rPr>
        <w:t>https://www.meti.go.jp/policy/chemical_management/kasinhou/</w:t>
      </w:r>
    </w:p>
    <w:p w14:paraId="01F96244" w14:textId="6536B17C" w:rsidR="00D87A1F" w:rsidRPr="00C8787F" w:rsidRDefault="000E68E3" w:rsidP="00B277FA">
      <w:pPr>
        <w:ind w:firstLineChars="200" w:firstLine="305"/>
        <w:jc w:val="left"/>
        <w:rPr>
          <w:rFonts w:ascii="ＭＳ 明朝" w:hAnsi="ＭＳ 明朝" w:cs="Arial"/>
          <w:bCs/>
          <w:spacing w:val="0"/>
          <w:kern w:val="24"/>
          <w:sz w:val="16"/>
          <w:szCs w:val="16"/>
        </w:rPr>
      </w:pPr>
      <w:r w:rsidRPr="00C8787F">
        <w:rPr>
          <w:rFonts w:ascii="ＭＳ 明朝" w:hAnsi="ＭＳ 明朝" w:cs="Arial"/>
          <w:bCs/>
          <w:spacing w:val="0"/>
          <w:kern w:val="24"/>
          <w:sz w:val="16"/>
          <w:szCs w:val="16"/>
        </w:rPr>
        <w:t>files/information/ra/pacs_riskassessment_status.pdf</w:t>
      </w:r>
      <w:r w:rsidR="00C8787F">
        <w:rPr>
          <w:rFonts w:ascii="ＭＳ 明朝" w:hAnsi="ＭＳ 明朝" w:cs="Arial" w:hint="eastAsia"/>
          <w:bCs/>
          <w:spacing w:val="0"/>
          <w:kern w:val="24"/>
          <w:sz w:val="16"/>
          <w:szCs w:val="16"/>
        </w:rPr>
        <w:t>）</w:t>
      </w:r>
    </w:p>
    <w:p w14:paraId="7CDC3304" w14:textId="269E29E0" w:rsidR="00B277FA" w:rsidRPr="00B277FA" w:rsidRDefault="00A010D7" w:rsidP="00B277FA">
      <w:pPr>
        <w:pStyle w:val="af"/>
        <w:numPr>
          <w:ilvl w:val="0"/>
          <w:numId w:val="9"/>
        </w:numPr>
        <w:ind w:leftChars="0"/>
        <w:jc w:val="left"/>
        <w:rPr>
          <w:rFonts w:ascii="ＭＳ 明朝" w:hAnsi="ＭＳ 明朝"/>
          <w:sz w:val="16"/>
          <w:szCs w:val="16"/>
        </w:rPr>
      </w:pPr>
      <w:r w:rsidRPr="00B277FA">
        <w:rPr>
          <w:rFonts w:ascii="ＭＳ 明朝" w:hAnsi="ＭＳ 明朝" w:hint="eastAsia"/>
          <w:sz w:val="16"/>
          <w:szCs w:val="16"/>
        </w:rPr>
        <w:t>器具容器包装評価書</w:t>
      </w:r>
      <w:r w:rsidRPr="00B277FA">
        <w:rPr>
          <w:rFonts w:ascii="ＭＳ 明朝" w:hAnsi="ＭＳ 明朝"/>
          <w:sz w:val="16"/>
          <w:szCs w:val="16"/>
        </w:rPr>
        <w:t>,pp117</w:t>
      </w:r>
    </w:p>
    <w:p w14:paraId="7E765025" w14:textId="05D6B35D" w:rsidR="00A010D7" w:rsidRDefault="00C8787F" w:rsidP="00B277FA">
      <w:pPr>
        <w:ind w:leftChars="73" w:left="140"/>
        <w:jc w:val="left"/>
        <w:rPr>
          <w:rFonts w:ascii="ＭＳ 明朝" w:hAnsi="ＭＳ 明朝"/>
          <w:sz w:val="16"/>
          <w:szCs w:val="16"/>
        </w:rPr>
      </w:pPr>
      <w:r w:rsidRPr="00B277FA">
        <w:rPr>
          <w:rFonts w:ascii="ＭＳ 明朝" w:hAnsi="ＭＳ 明朝" w:hint="eastAsia"/>
          <w:sz w:val="16"/>
          <w:szCs w:val="16"/>
        </w:rPr>
        <w:t>（</w:t>
      </w:r>
      <w:r w:rsidRPr="00B277FA">
        <w:rPr>
          <w:rFonts w:ascii="ＭＳ 明朝" w:hAnsi="ＭＳ 明朝"/>
          <w:sz w:val="16"/>
          <w:szCs w:val="16"/>
        </w:rPr>
        <w:t>http://116.91.128.18/fsciis/evaluation</w:t>
      </w:r>
      <w:r w:rsidRPr="00C8787F">
        <w:rPr>
          <w:rFonts w:ascii="ＭＳ 明朝" w:hAnsi="ＭＳ 明朝"/>
          <w:sz w:val="16"/>
          <w:szCs w:val="16"/>
        </w:rPr>
        <w:t>Document/show/kya20091214371</w:t>
      </w:r>
      <w:r>
        <w:rPr>
          <w:rFonts w:ascii="ＭＳ 明朝" w:hAnsi="ＭＳ 明朝" w:hint="eastAsia"/>
          <w:sz w:val="16"/>
          <w:szCs w:val="16"/>
        </w:rPr>
        <w:t>）</w:t>
      </w:r>
    </w:p>
    <w:p w14:paraId="102182F8" w14:textId="6E76B6AF" w:rsidR="00C8787F" w:rsidRPr="00526877" w:rsidRDefault="00C8787F" w:rsidP="00B277FA">
      <w:pPr>
        <w:ind w:left="142" w:hangingChars="100" w:hanging="142"/>
        <w:jc w:val="left"/>
        <w:rPr>
          <w:rFonts w:ascii="ＭＳ 明朝" w:hAnsi="ＭＳ 明朝"/>
          <w:sz w:val="16"/>
          <w:szCs w:val="16"/>
        </w:rPr>
      </w:pPr>
      <w:r>
        <w:rPr>
          <w:rFonts w:ascii="ＭＳ 明朝" w:hAnsi="ＭＳ 明朝" w:hint="eastAsia"/>
          <w:sz w:val="16"/>
          <w:szCs w:val="16"/>
        </w:rPr>
        <w:t>3</w:t>
      </w:r>
      <w:r w:rsidRPr="00526877">
        <w:rPr>
          <w:rFonts w:ascii="ＭＳ 明朝" w:hAnsi="ＭＳ 明朝" w:hint="eastAsia"/>
          <w:sz w:val="16"/>
          <w:szCs w:val="16"/>
        </w:rPr>
        <w:t>)</w:t>
      </w:r>
      <w:r>
        <w:rPr>
          <w:rFonts w:ascii="ＭＳ 明朝" w:hAnsi="ＭＳ 明朝" w:hint="eastAsia"/>
          <w:sz w:val="16"/>
          <w:szCs w:val="16"/>
        </w:rPr>
        <w:t xml:space="preserve"> </w:t>
      </w:r>
      <w:r w:rsidRPr="00526877">
        <w:rPr>
          <w:rFonts w:ascii="ＭＳ 明朝" w:hAnsi="ＭＳ 明朝" w:hint="eastAsia"/>
          <w:sz w:val="16"/>
          <w:szCs w:val="16"/>
        </w:rPr>
        <w:t>T</w:t>
      </w:r>
      <w:r w:rsidRPr="00526877">
        <w:rPr>
          <w:rFonts w:ascii="ＭＳ 明朝" w:hAnsi="ＭＳ 明朝"/>
          <w:sz w:val="16"/>
          <w:szCs w:val="16"/>
        </w:rPr>
        <w:t>oxicological Profile for DEHP</w:t>
      </w:r>
      <w:r w:rsidRPr="00526877">
        <w:rPr>
          <w:rFonts w:ascii="ＭＳ 明朝" w:hAnsi="ＭＳ 明朝" w:hint="eastAsia"/>
          <w:sz w:val="16"/>
          <w:szCs w:val="16"/>
        </w:rPr>
        <w:t>､pp447</w:t>
      </w:r>
      <w:r w:rsidRPr="00526877">
        <w:rPr>
          <w:rFonts w:ascii="ＭＳ 明朝" w:hAnsi="ＭＳ 明朝"/>
          <w:sz w:val="16"/>
          <w:szCs w:val="16"/>
        </w:rPr>
        <w:t xml:space="preserve"> </w:t>
      </w:r>
      <w:r w:rsidR="00B277FA">
        <w:rPr>
          <w:rFonts w:ascii="ＭＳ 明朝" w:hAnsi="ＭＳ 明朝" w:hint="eastAsia"/>
          <w:sz w:val="16"/>
          <w:szCs w:val="16"/>
        </w:rPr>
        <w:t>（</w:t>
      </w:r>
      <w:hyperlink r:id="rId13" w:history="1">
        <w:r w:rsidR="00B277FA" w:rsidRPr="00E62A61">
          <w:rPr>
            <w:rStyle w:val="a8"/>
            <w:rFonts w:ascii="ＭＳ 明朝" w:hAnsi="ＭＳ 明朝" w:hint="eastAsia"/>
            <w:sz w:val="16"/>
            <w:szCs w:val="16"/>
          </w:rPr>
          <w:t>https://www.atsdr.cdc.gov/ToxProfiles/tp9.pdf</w:t>
        </w:r>
      </w:hyperlink>
      <w:r w:rsidR="00B277FA">
        <w:rPr>
          <w:rFonts w:ascii="ＭＳ 明朝" w:hAnsi="ＭＳ 明朝" w:hint="eastAsia"/>
          <w:sz w:val="16"/>
          <w:szCs w:val="16"/>
        </w:rPr>
        <w:t>）</w:t>
      </w:r>
    </w:p>
    <w:p w14:paraId="4E66A5C0" w14:textId="7274BCC1" w:rsidR="00057166" w:rsidRPr="00526877" w:rsidRDefault="00057166" w:rsidP="00C8787F">
      <w:pPr>
        <w:ind w:left="142" w:hangingChars="100" w:hanging="142"/>
        <w:jc w:val="left"/>
        <w:rPr>
          <w:rFonts w:ascii="ＭＳ 明朝" w:hAnsi="ＭＳ 明朝"/>
          <w:sz w:val="16"/>
          <w:szCs w:val="16"/>
        </w:rPr>
      </w:pPr>
      <w:r w:rsidRPr="00526877">
        <w:rPr>
          <w:rFonts w:ascii="ＭＳ 明朝" w:hAnsi="ＭＳ 明朝" w:hint="eastAsia"/>
          <w:sz w:val="16"/>
          <w:szCs w:val="16"/>
        </w:rPr>
        <w:t>4)</w:t>
      </w:r>
      <w:r w:rsidR="00C8787F">
        <w:rPr>
          <w:rFonts w:ascii="ＭＳ 明朝" w:hAnsi="ＭＳ 明朝" w:hint="eastAsia"/>
          <w:sz w:val="16"/>
          <w:szCs w:val="16"/>
        </w:rPr>
        <w:t xml:space="preserve"> 令和元年度リスク評価（一次）評価Ⅱで用いた人健康影響のデータ（</w:t>
      </w:r>
      <w:r w:rsidR="00C8787F" w:rsidRPr="00C8787F">
        <w:rPr>
          <w:rFonts w:ascii="ＭＳ 明朝" w:hAnsi="ＭＳ 明朝"/>
          <w:sz w:val="16"/>
          <w:szCs w:val="16"/>
        </w:rPr>
        <w:t>https://www.meti.go.jp/policy/chemical_management/kasinhou/files/information/ra/ra1_210330_31.pdf</w:t>
      </w:r>
      <w:r w:rsidR="00C8787F">
        <w:rPr>
          <w:rFonts w:ascii="ＭＳ 明朝" w:hAnsi="ＭＳ 明朝" w:hint="eastAsia"/>
          <w:sz w:val="16"/>
          <w:szCs w:val="16"/>
        </w:rPr>
        <w:t>）</w:t>
      </w:r>
    </w:p>
    <w:p w14:paraId="52029455" w14:textId="77777777" w:rsidR="00B277FA" w:rsidRDefault="00BD5CD3" w:rsidP="00BD5CD3">
      <w:pPr>
        <w:ind w:left="152" w:hangingChars="100" w:hanging="152"/>
        <w:jc w:val="left"/>
        <w:rPr>
          <w:rFonts w:ascii="ＭＳ 明朝" w:hAnsi="ＭＳ 明朝" w:cs="Arial"/>
          <w:bCs/>
          <w:spacing w:val="0"/>
          <w:kern w:val="24"/>
          <w:sz w:val="16"/>
          <w:szCs w:val="16"/>
        </w:rPr>
      </w:pPr>
      <w:r>
        <w:rPr>
          <w:rFonts w:ascii="ＭＳ 明朝" w:hAnsi="ＭＳ 明朝" w:cs="Arial" w:hint="eastAsia"/>
          <w:bCs/>
          <w:spacing w:val="0"/>
          <w:kern w:val="24"/>
          <w:sz w:val="16"/>
          <w:szCs w:val="16"/>
        </w:rPr>
        <w:t>5）</w:t>
      </w:r>
      <w:r w:rsidR="00F3246A" w:rsidRPr="00526877">
        <w:rPr>
          <w:rFonts w:ascii="ＭＳ 明朝" w:hAnsi="ＭＳ 明朝" w:cs="Arial" w:hint="eastAsia"/>
          <w:bCs/>
          <w:spacing w:val="0"/>
          <w:kern w:val="24"/>
          <w:sz w:val="16"/>
          <w:szCs w:val="16"/>
        </w:rPr>
        <w:t>可塑剤インフォメーション No.32</w:t>
      </w:r>
    </w:p>
    <w:p w14:paraId="66B09E7B" w14:textId="46AA9E90" w:rsidR="00BD5CD3" w:rsidRPr="00526877" w:rsidRDefault="00F3246A" w:rsidP="00B277FA">
      <w:pPr>
        <w:ind w:left="152" w:hangingChars="100" w:hanging="152"/>
        <w:jc w:val="left"/>
        <w:rPr>
          <w:rFonts w:ascii="ＭＳ 明朝" w:hAnsi="ＭＳ 明朝" w:cs="Arial"/>
          <w:bCs/>
          <w:spacing w:val="0"/>
          <w:kern w:val="24"/>
          <w:sz w:val="16"/>
          <w:szCs w:val="16"/>
        </w:rPr>
      </w:pPr>
      <w:r>
        <w:rPr>
          <w:rFonts w:ascii="ＭＳ 明朝" w:hAnsi="ＭＳ 明朝" w:cs="Arial" w:hint="eastAsia"/>
          <w:bCs/>
          <w:spacing w:val="0"/>
          <w:kern w:val="24"/>
          <w:sz w:val="16"/>
          <w:szCs w:val="16"/>
        </w:rPr>
        <w:t>（</w:t>
      </w:r>
      <w:hyperlink r:id="rId14" w:history="1">
        <w:r w:rsidR="00B277FA" w:rsidRPr="00E62A61">
          <w:rPr>
            <w:rStyle w:val="a8"/>
            <w:rFonts w:ascii="ＭＳ 明朝" w:hAnsi="ＭＳ 明朝" w:cs="Arial"/>
            <w:bCs/>
            <w:spacing w:val="0"/>
            <w:kern w:val="24"/>
            <w:sz w:val="16"/>
            <w:szCs w:val="16"/>
          </w:rPr>
          <w:t>http://www.kasozai.gr.jp/wordpress/wp-ontent/uploads/2022/12/可塑剤インフォメーションNo.32最終版-1.pdf</w:t>
        </w:r>
      </w:hyperlink>
      <w:r w:rsidR="00B277FA">
        <w:rPr>
          <w:rFonts w:ascii="ＭＳ 明朝" w:hAnsi="ＭＳ 明朝" w:cs="Arial" w:hint="eastAsia"/>
          <w:bCs/>
          <w:spacing w:val="0"/>
          <w:kern w:val="24"/>
          <w:sz w:val="16"/>
          <w:szCs w:val="16"/>
        </w:rPr>
        <w:t>）</w:t>
      </w:r>
    </w:p>
    <w:p w14:paraId="76366834" w14:textId="461E695A" w:rsidR="00C8787F" w:rsidRDefault="00BD5CD3" w:rsidP="00F3246A">
      <w:pPr>
        <w:ind w:left="142" w:hangingChars="100" w:hanging="142"/>
        <w:jc w:val="left"/>
        <w:rPr>
          <w:rFonts w:ascii="ＭＳ 明朝" w:hAnsi="ＭＳ 明朝"/>
          <w:sz w:val="16"/>
          <w:szCs w:val="16"/>
        </w:rPr>
      </w:pPr>
      <w:r>
        <w:rPr>
          <w:rFonts w:ascii="ＭＳ 明朝" w:hAnsi="ＭＳ 明朝" w:hint="eastAsia"/>
          <w:sz w:val="16"/>
          <w:szCs w:val="16"/>
        </w:rPr>
        <w:t>6</w:t>
      </w:r>
      <w:r w:rsidR="00057166" w:rsidRPr="00526877">
        <w:rPr>
          <w:rFonts w:ascii="ＭＳ 明朝" w:hAnsi="ＭＳ 明朝" w:hint="eastAsia"/>
          <w:sz w:val="16"/>
          <w:szCs w:val="16"/>
        </w:rPr>
        <w:t>)</w:t>
      </w:r>
      <w:r w:rsidR="00C8787F" w:rsidRPr="00526877">
        <w:rPr>
          <w:rFonts w:ascii="ＭＳ 明朝" w:hAnsi="ＭＳ 明朝"/>
          <w:sz w:val="16"/>
          <w:szCs w:val="16"/>
        </w:rPr>
        <w:t xml:space="preserve"> </w:t>
      </w:r>
      <w:r w:rsidR="00B277FA" w:rsidRPr="00B277FA">
        <w:rPr>
          <w:rFonts w:ascii="ＭＳ 明朝" w:hAnsi="ＭＳ 明朝" w:cs="Arial" w:hint="eastAsia"/>
          <w:bCs/>
          <w:spacing w:val="0"/>
          <w:kern w:val="24"/>
          <w:sz w:val="16"/>
          <w:szCs w:val="16"/>
        </w:rPr>
        <w:t>化審法における人健康影響に関する有害性データの信頼性評価等について【改訂第２版】</w:t>
      </w:r>
      <w:r w:rsidR="00B277FA">
        <w:rPr>
          <w:rFonts w:ascii="ＭＳ 明朝" w:hAnsi="ＭＳ 明朝" w:cs="Arial" w:hint="eastAsia"/>
          <w:bCs/>
          <w:spacing w:val="0"/>
          <w:kern w:val="24"/>
          <w:sz w:val="16"/>
          <w:szCs w:val="16"/>
        </w:rPr>
        <w:t>（</w:t>
      </w:r>
      <w:r w:rsidR="00C8787F" w:rsidRPr="00C8787F">
        <w:rPr>
          <w:rFonts w:ascii="ＭＳ 明朝" w:hAnsi="ＭＳ 明朝"/>
          <w:sz w:val="16"/>
          <w:szCs w:val="16"/>
        </w:rPr>
        <w:t>https://www.meti.go.jp/policy/chemical_management/kasinhou/</w:t>
      </w:r>
    </w:p>
    <w:p w14:paraId="52F18367" w14:textId="2389A721" w:rsidR="00057166" w:rsidRPr="00526877" w:rsidRDefault="00C8787F" w:rsidP="00F3246A">
      <w:pPr>
        <w:ind w:firstLineChars="100" w:firstLine="142"/>
        <w:jc w:val="left"/>
        <w:rPr>
          <w:rFonts w:ascii="ＭＳ 明朝" w:hAnsi="ＭＳ 明朝"/>
          <w:sz w:val="16"/>
          <w:szCs w:val="16"/>
        </w:rPr>
      </w:pPr>
      <w:r w:rsidRPr="00526877">
        <w:rPr>
          <w:rFonts w:ascii="ＭＳ 明朝" w:hAnsi="ＭＳ 明朝"/>
          <w:sz w:val="16"/>
          <w:szCs w:val="16"/>
        </w:rPr>
        <w:t>files/information/ra/reliability_criteria03.pdf</w:t>
      </w:r>
      <w:r w:rsidR="00B277FA">
        <w:rPr>
          <w:rFonts w:ascii="ＭＳ 明朝" w:hAnsi="ＭＳ 明朝" w:hint="eastAsia"/>
          <w:sz w:val="16"/>
          <w:szCs w:val="16"/>
        </w:rPr>
        <w:t>）</w:t>
      </w:r>
    </w:p>
    <w:p w14:paraId="1BF22ACA" w14:textId="667C11C9" w:rsidR="00BD5CD3" w:rsidRDefault="00BD5CD3" w:rsidP="00B277FA">
      <w:pPr>
        <w:ind w:left="142" w:hangingChars="100" w:hanging="142"/>
        <w:jc w:val="left"/>
        <w:rPr>
          <w:rFonts w:ascii="ＭＳ 明朝" w:hAnsi="ＭＳ 明朝"/>
          <w:sz w:val="16"/>
          <w:szCs w:val="16"/>
        </w:rPr>
      </w:pPr>
      <w:r>
        <w:rPr>
          <w:rFonts w:ascii="ＭＳ 明朝" w:hAnsi="ＭＳ 明朝" w:hint="eastAsia"/>
          <w:sz w:val="16"/>
          <w:szCs w:val="16"/>
        </w:rPr>
        <w:t>7</w:t>
      </w:r>
      <w:r w:rsidR="00EC2F55" w:rsidRPr="00526877">
        <w:rPr>
          <w:rFonts w:ascii="ＭＳ 明朝" w:hAnsi="ＭＳ 明朝" w:hint="eastAsia"/>
          <w:sz w:val="16"/>
          <w:szCs w:val="16"/>
        </w:rPr>
        <w:t>)</w:t>
      </w:r>
      <w:r w:rsidRPr="00BD5CD3">
        <w:t xml:space="preserve"> </w:t>
      </w:r>
      <w:r w:rsidR="00B277FA" w:rsidRPr="00B277FA">
        <w:rPr>
          <w:rFonts w:ascii="ＭＳ 明朝" w:hAnsi="ＭＳ 明朝" w:cs="Arial" w:hint="eastAsia"/>
          <w:bCs/>
          <w:spacing w:val="0"/>
          <w:kern w:val="24"/>
          <w:sz w:val="16"/>
          <w:szCs w:val="16"/>
        </w:rPr>
        <w:t>化審法のスクリーニング評価及びリスク評価（一次）リスク評価Ⅰに用いる性状データの信頼性評価等の基本的な考え方（平成23年9月15日）</w:t>
      </w:r>
      <w:r w:rsidR="00B277FA">
        <w:rPr>
          <w:rFonts w:ascii="ＭＳ 明朝" w:hAnsi="ＭＳ 明朝" w:cs="Arial" w:hint="eastAsia"/>
          <w:bCs/>
          <w:spacing w:val="0"/>
          <w:kern w:val="24"/>
          <w:sz w:val="16"/>
          <w:szCs w:val="16"/>
        </w:rPr>
        <w:t>（</w:t>
      </w:r>
      <w:r w:rsidRPr="00BD5CD3">
        <w:rPr>
          <w:rFonts w:ascii="ＭＳ 明朝" w:hAnsi="ＭＳ 明朝"/>
          <w:sz w:val="16"/>
          <w:szCs w:val="16"/>
        </w:rPr>
        <w:t>https://www.meti.go.jp/policy/chemical_management/kasinhou/</w:t>
      </w:r>
    </w:p>
    <w:p w14:paraId="624FF920" w14:textId="1518235D" w:rsidR="00EC2F55" w:rsidRPr="00526877" w:rsidRDefault="00BD5CD3" w:rsidP="00F3246A">
      <w:pPr>
        <w:ind w:firstLineChars="100" w:firstLine="142"/>
        <w:jc w:val="left"/>
        <w:rPr>
          <w:rFonts w:ascii="ＭＳ 明朝" w:hAnsi="ＭＳ 明朝" w:cs="Arial"/>
          <w:bCs/>
          <w:kern w:val="24"/>
          <w:sz w:val="16"/>
          <w:szCs w:val="16"/>
        </w:rPr>
      </w:pPr>
      <w:r w:rsidRPr="00BD5CD3">
        <w:rPr>
          <w:rFonts w:ascii="ＭＳ 明朝" w:hAnsi="ＭＳ 明朝"/>
          <w:sz w:val="16"/>
          <w:szCs w:val="16"/>
        </w:rPr>
        <w:t>files/information/ra/reliability_criteria01.pdf</w:t>
      </w:r>
      <w:r w:rsidR="00B277FA">
        <w:rPr>
          <w:rFonts w:ascii="ＭＳ 明朝" w:hAnsi="ＭＳ 明朝" w:hint="eastAsia"/>
          <w:sz w:val="16"/>
          <w:szCs w:val="16"/>
        </w:rPr>
        <w:t>）</w:t>
      </w:r>
    </w:p>
    <w:p w14:paraId="1618C396" w14:textId="7A95311A" w:rsidR="00D87A1F" w:rsidRDefault="00D87A1F" w:rsidP="009C421C">
      <w:pPr>
        <w:ind w:left="152" w:hangingChars="100" w:hanging="152"/>
        <w:jc w:val="left"/>
        <w:rPr>
          <w:rFonts w:ascii="ＭＳ 明朝" w:hAnsi="ＭＳ 明朝" w:cs="Arial"/>
          <w:bCs/>
          <w:spacing w:val="0"/>
          <w:kern w:val="24"/>
          <w:sz w:val="16"/>
          <w:szCs w:val="16"/>
        </w:rPr>
      </w:pPr>
    </w:p>
    <w:p w14:paraId="4A42AF1A" w14:textId="77777777" w:rsidR="00926356" w:rsidRDefault="00926356" w:rsidP="009C421C">
      <w:pPr>
        <w:ind w:left="142" w:hangingChars="100" w:hanging="142"/>
        <w:jc w:val="left"/>
        <w:rPr>
          <w:rFonts w:ascii="ＭＳ 明朝" w:hAnsi="ＭＳ 明朝"/>
          <w:sz w:val="16"/>
          <w:szCs w:val="16"/>
        </w:rPr>
      </w:pPr>
    </w:p>
    <w:p w14:paraId="0893DAFF" w14:textId="559BA3BC" w:rsidR="00926356" w:rsidRPr="00D87A1F" w:rsidRDefault="00926356" w:rsidP="009C421C">
      <w:pPr>
        <w:ind w:left="142" w:hangingChars="100" w:hanging="142"/>
        <w:jc w:val="left"/>
        <w:rPr>
          <w:rFonts w:ascii="ＭＳ 明朝" w:hAnsi="ＭＳ 明朝"/>
          <w:sz w:val="16"/>
          <w:szCs w:val="16"/>
        </w:rPr>
      </w:pPr>
    </w:p>
    <w:sectPr w:rsidR="00926356" w:rsidRPr="00D87A1F" w:rsidSect="00EA3856">
      <w:pgSz w:w="11906" w:h="16838" w:code="9"/>
      <w:pgMar w:top="1701" w:right="851" w:bottom="1701" w:left="1021" w:header="851" w:footer="992" w:gutter="0"/>
      <w:cols w:num="2" w:space="420"/>
      <w:docGrid w:type="linesAndChars" w:linePitch="292" w:charSpace="-15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1AB87" w14:textId="77777777" w:rsidR="004D5102" w:rsidRDefault="004D5102">
      <w:r>
        <w:separator/>
      </w:r>
    </w:p>
  </w:endnote>
  <w:endnote w:type="continuationSeparator" w:id="0">
    <w:p w14:paraId="1CB46FCB" w14:textId="77777777" w:rsidR="004D5102" w:rsidRDefault="004D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2E4FB" w14:textId="77777777" w:rsidR="004D5102" w:rsidRDefault="004D5102">
      <w:r>
        <w:separator/>
      </w:r>
    </w:p>
  </w:footnote>
  <w:footnote w:type="continuationSeparator" w:id="0">
    <w:p w14:paraId="4C31EE76" w14:textId="77777777" w:rsidR="004D5102" w:rsidRDefault="004D5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F4CAB"/>
    <w:multiLevelType w:val="hybridMultilevel"/>
    <w:tmpl w:val="5E821D8C"/>
    <w:lvl w:ilvl="0" w:tplc="886AD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C46E4F"/>
    <w:multiLevelType w:val="hybridMultilevel"/>
    <w:tmpl w:val="92901338"/>
    <w:lvl w:ilvl="0" w:tplc="79A424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4AB0E77"/>
    <w:multiLevelType w:val="hybridMultilevel"/>
    <w:tmpl w:val="D7BE467A"/>
    <w:lvl w:ilvl="0" w:tplc="6810C87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FC459D4"/>
    <w:multiLevelType w:val="hybridMultilevel"/>
    <w:tmpl w:val="D486D6AA"/>
    <w:lvl w:ilvl="0" w:tplc="5E7E8CCC">
      <w:start w:val="1"/>
      <w:numFmt w:val="decimalEnclosedCircle"/>
      <w:lvlText w:val="%1"/>
      <w:lvlJc w:val="left"/>
      <w:pPr>
        <w:ind w:left="552" w:hanging="360"/>
      </w:pPr>
      <w:rPr>
        <w:rFonts w:hint="default"/>
      </w:rPr>
    </w:lvl>
    <w:lvl w:ilvl="1" w:tplc="04090017" w:tentative="1">
      <w:start w:val="1"/>
      <w:numFmt w:val="aiueoFullWidth"/>
      <w:lvlText w:val="(%2)"/>
      <w:lvlJc w:val="left"/>
      <w:pPr>
        <w:ind w:left="1072" w:hanging="440"/>
      </w:pPr>
    </w:lvl>
    <w:lvl w:ilvl="2" w:tplc="04090011" w:tentative="1">
      <w:start w:val="1"/>
      <w:numFmt w:val="decimalEnclosedCircle"/>
      <w:lvlText w:val="%3"/>
      <w:lvlJc w:val="left"/>
      <w:pPr>
        <w:ind w:left="1512" w:hanging="440"/>
      </w:pPr>
    </w:lvl>
    <w:lvl w:ilvl="3" w:tplc="0409000F" w:tentative="1">
      <w:start w:val="1"/>
      <w:numFmt w:val="decimal"/>
      <w:lvlText w:val="%4."/>
      <w:lvlJc w:val="left"/>
      <w:pPr>
        <w:ind w:left="1952" w:hanging="440"/>
      </w:pPr>
    </w:lvl>
    <w:lvl w:ilvl="4" w:tplc="04090017" w:tentative="1">
      <w:start w:val="1"/>
      <w:numFmt w:val="aiueoFullWidth"/>
      <w:lvlText w:val="(%5)"/>
      <w:lvlJc w:val="left"/>
      <w:pPr>
        <w:ind w:left="2392" w:hanging="440"/>
      </w:pPr>
    </w:lvl>
    <w:lvl w:ilvl="5" w:tplc="04090011" w:tentative="1">
      <w:start w:val="1"/>
      <w:numFmt w:val="decimalEnclosedCircle"/>
      <w:lvlText w:val="%6"/>
      <w:lvlJc w:val="left"/>
      <w:pPr>
        <w:ind w:left="2832" w:hanging="440"/>
      </w:pPr>
    </w:lvl>
    <w:lvl w:ilvl="6" w:tplc="0409000F" w:tentative="1">
      <w:start w:val="1"/>
      <w:numFmt w:val="decimal"/>
      <w:lvlText w:val="%7."/>
      <w:lvlJc w:val="left"/>
      <w:pPr>
        <w:ind w:left="3272" w:hanging="440"/>
      </w:pPr>
    </w:lvl>
    <w:lvl w:ilvl="7" w:tplc="04090017" w:tentative="1">
      <w:start w:val="1"/>
      <w:numFmt w:val="aiueoFullWidth"/>
      <w:lvlText w:val="(%8)"/>
      <w:lvlJc w:val="left"/>
      <w:pPr>
        <w:ind w:left="3712" w:hanging="440"/>
      </w:pPr>
    </w:lvl>
    <w:lvl w:ilvl="8" w:tplc="04090011" w:tentative="1">
      <w:start w:val="1"/>
      <w:numFmt w:val="decimalEnclosedCircle"/>
      <w:lvlText w:val="%9"/>
      <w:lvlJc w:val="left"/>
      <w:pPr>
        <w:ind w:left="4152" w:hanging="440"/>
      </w:pPr>
    </w:lvl>
  </w:abstractNum>
  <w:abstractNum w:abstractNumId="4" w15:restartNumberingAfterBreak="0">
    <w:nsid w:val="474F5F81"/>
    <w:multiLevelType w:val="hybridMultilevel"/>
    <w:tmpl w:val="2BC44D32"/>
    <w:lvl w:ilvl="0" w:tplc="FA927AF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F2D4828"/>
    <w:multiLevelType w:val="hybridMultilevel"/>
    <w:tmpl w:val="377CEC16"/>
    <w:lvl w:ilvl="0" w:tplc="37FC235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38D00CC"/>
    <w:multiLevelType w:val="hybridMultilevel"/>
    <w:tmpl w:val="5D305C9A"/>
    <w:lvl w:ilvl="0" w:tplc="7C6247E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06263D7"/>
    <w:multiLevelType w:val="hybridMultilevel"/>
    <w:tmpl w:val="03EA8DC2"/>
    <w:lvl w:ilvl="0" w:tplc="5646460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367190C"/>
    <w:multiLevelType w:val="hybridMultilevel"/>
    <w:tmpl w:val="74C8B0DA"/>
    <w:lvl w:ilvl="0" w:tplc="1BA88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4387245">
    <w:abstractNumId w:val="7"/>
  </w:num>
  <w:num w:numId="2" w16cid:durableId="1521161471">
    <w:abstractNumId w:val="0"/>
  </w:num>
  <w:num w:numId="3" w16cid:durableId="1004163573">
    <w:abstractNumId w:val="8"/>
  </w:num>
  <w:num w:numId="4" w16cid:durableId="223639430">
    <w:abstractNumId w:val="3"/>
  </w:num>
  <w:num w:numId="5" w16cid:durableId="2103790775">
    <w:abstractNumId w:val="1"/>
  </w:num>
  <w:num w:numId="6" w16cid:durableId="1943102250">
    <w:abstractNumId w:val="4"/>
  </w:num>
  <w:num w:numId="7" w16cid:durableId="1340500253">
    <w:abstractNumId w:val="6"/>
  </w:num>
  <w:num w:numId="8" w16cid:durableId="197011895">
    <w:abstractNumId w:val="5"/>
  </w:num>
  <w:num w:numId="9" w16cid:durableId="631638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6"/>
  <w:drawingGridHorizontalSpacing w:val="96"/>
  <w:drawingGridVerticalSpacing w:val="333"/>
  <w:displayHorizontalDrawingGridEvery w:val="0"/>
  <w:characterSpacingControl w:val="compressPunctuation"/>
  <w:noLineBreaksAfter w:lang="ja-JP" w:val="$([\{‘“〈《「『【〔＄（［｛｢￡￥"/>
  <w:noLineBreaksBefore w:lang="ja-JP" w:val="!%),.:;?]}°’”‰′″℃、。々〉》」』】〕゛゜ゝゞ・ヽヾ！％），．：；？］｝｡｣､･ﾞﾟ￠"/>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173 pt,2.9 pt"/>
    <w:docVar w:name="DocLay" w:val="YES"/>
    <w:docVar w:name="ValidCPLLPP" w:val="1"/>
    <w:docVar w:name="ViewGrid" w:val="0"/>
  </w:docVars>
  <w:rsids>
    <w:rsidRoot w:val="006F1361"/>
    <w:rsid w:val="00003AB7"/>
    <w:rsid w:val="00005B68"/>
    <w:rsid w:val="0000740C"/>
    <w:rsid w:val="00010387"/>
    <w:rsid w:val="000430E2"/>
    <w:rsid w:val="00043DAB"/>
    <w:rsid w:val="00045E17"/>
    <w:rsid w:val="00046816"/>
    <w:rsid w:val="00054AED"/>
    <w:rsid w:val="00057166"/>
    <w:rsid w:val="0006012E"/>
    <w:rsid w:val="00064F86"/>
    <w:rsid w:val="00074061"/>
    <w:rsid w:val="00075BB3"/>
    <w:rsid w:val="00083A7E"/>
    <w:rsid w:val="00085272"/>
    <w:rsid w:val="00086851"/>
    <w:rsid w:val="000974E5"/>
    <w:rsid w:val="000B53B4"/>
    <w:rsid w:val="000C05F6"/>
    <w:rsid w:val="000C3D13"/>
    <w:rsid w:val="000C4891"/>
    <w:rsid w:val="000C6F21"/>
    <w:rsid w:val="000C77BD"/>
    <w:rsid w:val="000D363B"/>
    <w:rsid w:val="000E131E"/>
    <w:rsid w:val="000E1FAD"/>
    <w:rsid w:val="000E3929"/>
    <w:rsid w:val="000E3B9E"/>
    <w:rsid w:val="000E68E3"/>
    <w:rsid w:val="000E6B03"/>
    <w:rsid w:val="000E774B"/>
    <w:rsid w:val="000F4AD2"/>
    <w:rsid w:val="00102046"/>
    <w:rsid w:val="00102666"/>
    <w:rsid w:val="0010443B"/>
    <w:rsid w:val="001048B5"/>
    <w:rsid w:val="0011026E"/>
    <w:rsid w:val="00120626"/>
    <w:rsid w:val="0012490C"/>
    <w:rsid w:val="001258A6"/>
    <w:rsid w:val="00126B09"/>
    <w:rsid w:val="001342EE"/>
    <w:rsid w:val="001351AD"/>
    <w:rsid w:val="001353EF"/>
    <w:rsid w:val="0013607E"/>
    <w:rsid w:val="00152F8B"/>
    <w:rsid w:val="001533A3"/>
    <w:rsid w:val="0015405E"/>
    <w:rsid w:val="00163747"/>
    <w:rsid w:val="001641C8"/>
    <w:rsid w:val="00165097"/>
    <w:rsid w:val="0017608A"/>
    <w:rsid w:val="00176643"/>
    <w:rsid w:val="0017693F"/>
    <w:rsid w:val="00193EFB"/>
    <w:rsid w:val="001A0A95"/>
    <w:rsid w:val="001A4E07"/>
    <w:rsid w:val="001A576F"/>
    <w:rsid w:val="001A7413"/>
    <w:rsid w:val="001B74DB"/>
    <w:rsid w:val="001C214B"/>
    <w:rsid w:val="001C6492"/>
    <w:rsid w:val="001C7CF0"/>
    <w:rsid w:val="001D3C36"/>
    <w:rsid w:val="001D5CC5"/>
    <w:rsid w:val="001F1358"/>
    <w:rsid w:val="001F18D6"/>
    <w:rsid w:val="001F26BB"/>
    <w:rsid w:val="001F4A2B"/>
    <w:rsid w:val="00200092"/>
    <w:rsid w:val="002067DA"/>
    <w:rsid w:val="0021353B"/>
    <w:rsid w:val="00213B31"/>
    <w:rsid w:val="00213E42"/>
    <w:rsid w:val="00232A7B"/>
    <w:rsid w:val="002333BB"/>
    <w:rsid w:val="002346A6"/>
    <w:rsid w:val="00235C09"/>
    <w:rsid w:val="00240041"/>
    <w:rsid w:val="00240763"/>
    <w:rsid w:val="00244545"/>
    <w:rsid w:val="00245455"/>
    <w:rsid w:val="0025232C"/>
    <w:rsid w:val="00254BBD"/>
    <w:rsid w:val="00255A85"/>
    <w:rsid w:val="00266556"/>
    <w:rsid w:val="00270BA5"/>
    <w:rsid w:val="0027317E"/>
    <w:rsid w:val="00280135"/>
    <w:rsid w:val="002924DA"/>
    <w:rsid w:val="00295843"/>
    <w:rsid w:val="002A5DF1"/>
    <w:rsid w:val="002B0D19"/>
    <w:rsid w:val="002B4086"/>
    <w:rsid w:val="002B4D4D"/>
    <w:rsid w:val="002C0631"/>
    <w:rsid w:val="002C14FA"/>
    <w:rsid w:val="002C681A"/>
    <w:rsid w:val="002D2AD4"/>
    <w:rsid w:val="002D2FC2"/>
    <w:rsid w:val="002E137B"/>
    <w:rsid w:val="002E4EB4"/>
    <w:rsid w:val="002F052D"/>
    <w:rsid w:val="002F38C3"/>
    <w:rsid w:val="002F404A"/>
    <w:rsid w:val="002F5971"/>
    <w:rsid w:val="002F627E"/>
    <w:rsid w:val="00300A7B"/>
    <w:rsid w:val="00306FEA"/>
    <w:rsid w:val="003107C6"/>
    <w:rsid w:val="00320306"/>
    <w:rsid w:val="003231C4"/>
    <w:rsid w:val="00323BFF"/>
    <w:rsid w:val="0032615A"/>
    <w:rsid w:val="003347E5"/>
    <w:rsid w:val="00335297"/>
    <w:rsid w:val="00336A38"/>
    <w:rsid w:val="00344473"/>
    <w:rsid w:val="003504A9"/>
    <w:rsid w:val="0036539F"/>
    <w:rsid w:val="003676EE"/>
    <w:rsid w:val="0038355A"/>
    <w:rsid w:val="00383D73"/>
    <w:rsid w:val="00387EC6"/>
    <w:rsid w:val="00396F8A"/>
    <w:rsid w:val="003A51EF"/>
    <w:rsid w:val="003B0054"/>
    <w:rsid w:val="003B64F1"/>
    <w:rsid w:val="003C00A7"/>
    <w:rsid w:val="003C0F52"/>
    <w:rsid w:val="003D7BF5"/>
    <w:rsid w:val="003E1419"/>
    <w:rsid w:val="003E2DAF"/>
    <w:rsid w:val="003E36BE"/>
    <w:rsid w:val="003E39D8"/>
    <w:rsid w:val="003E5E51"/>
    <w:rsid w:val="003E6062"/>
    <w:rsid w:val="003F5F80"/>
    <w:rsid w:val="00404DFC"/>
    <w:rsid w:val="00413225"/>
    <w:rsid w:val="00415C18"/>
    <w:rsid w:val="00420FCC"/>
    <w:rsid w:val="0042399B"/>
    <w:rsid w:val="0043193C"/>
    <w:rsid w:val="004327E4"/>
    <w:rsid w:val="00435741"/>
    <w:rsid w:val="00436C77"/>
    <w:rsid w:val="00442200"/>
    <w:rsid w:val="004538F9"/>
    <w:rsid w:val="0045584D"/>
    <w:rsid w:val="0046167C"/>
    <w:rsid w:val="00470CDA"/>
    <w:rsid w:val="004719EB"/>
    <w:rsid w:val="004777FE"/>
    <w:rsid w:val="004816AC"/>
    <w:rsid w:val="00492479"/>
    <w:rsid w:val="004934D7"/>
    <w:rsid w:val="004958D6"/>
    <w:rsid w:val="00496B61"/>
    <w:rsid w:val="004A0727"/>
    <w:rsid w:val="004B18CE"/>
    <w:rsid w:val="004C0079"/>
    <w:rsid w:val="004C2368"/>
    <w:rsid w:val="004C2A43"/>
    <w:rsid w:val="004C49B7"/>
    <w:rsid w:val="004D0C5C"/>
    <w:rsid w:val="004D5102"/>
    <w:rsid w:val="004D5A8C"/>
    <w:rsid w:val="004E1C41"/>
    <w:rsid w:val="004E6097"/>
    <w:rsid w:val="004F2E67"/>
    <w:rsid w:val="004F2F68"/>
    <w:rsid w:val="004F73FF"/>
    <w:rsid w:val="00511E48"/>
    <w:rsid w:val="0051605A"/>
    <w:rsid w:val="00521A56"/>
    <w:rsid w:val="00526877"/>
    <w:rsid w:val="005312F2"/>
    <w:rsid w:val="00531459"/>
    <w:rsid w:val="0053697A"/>
    <w:rsid w:val="00537054"/>
    <w:rsid w:val="00541C73"/>
    <w:rsid w:val="00544440"/>
    <w:rsid w:val="00550741"/>
    <w:rsid w:val="00554449"/>
    <w:rsid w:val="00555A1C"/>
    <w:rsid w:val="005563BE"/>
    <w:rsid w:val="005565F5"/>
    <w:rsid w:val="0055755E"/>
    <w:rsid w:val="00565439"/>
    <w:rsid w:val="00567835"/>
    <w:rsid w:val="00573188"/>
    <w:rsid w:val="005745C0"/>
    <w:rsid w:val="005829A7"/>
    <w:rsid w:val="00584D50"/>
    <w:rsid w:val="0058524E"/>
    <w:rsid w:val="005A5999"/>
    <w:rsid w:val="005B0772"/>
    <w:rsid w:val="005B6B9C"/>
    <w:rsid w:val="005C04B6"/>
    <w:rsid w:val="005C15DE"/>
    <w:rsid w:val="005C1D2C"/>
    <w:rsid w:val="005D46AB"/>
    <w:rsid w:val="005D7C9A"/>
    <w:rsid w:val="005E08A3"/>
    <w:rsid w:val="005E6679"/>
    <w:rsid w:val="005E71BA"/>
    <w:rsid w:val="005F0EB0"/>
    <w:rsid w:val="005F4F7C"/>
    <w:rsid w:val="005F6809"/>
    <w:rsid w:val="006102BB"/>
    <w:rsid w:val="00621B12"/>
    <w:rsid w:val="0062324E"/>
    <w:rsid w:val="00626329"/>
    <w:rsid w:val="006378A0"/>
    <w:rsid w:val="0064387E"/>
    <w:rsid w:val="00643994"/>
    <w:rsid w:val="0065446E"/>
    <w:rsid w:val="0065472F"/>
    <w:rsid w:val="006623A5"/>
    <w:rsid w:val="00662868"/>
    <w:rsid w:val="00664262"/>
    <w:rsid w:val="006716CE"/>
    <w:rsid w:val="00673AD9"/>
    <w:rsid w:val="00675A3B"/>
    <w:rsid w:val="006871FA"/>
    <w:rsid w:val="0069077E"/>
    <w:rsid w:val="006911D5"/>
    <w:rsid w:val="00692591"/>
    <w:rsid w:val="006A07DE"/>
    <w:rsid w:val="006A0E4C"/>
    <w:rsid w:val="006A2876"/>
    <w:rsid w:val="006B0C16"/>
    <w:rsid w:val="006B1B33"/>
    <w:rsid w:val="006B3AA8"/>
    <w:rsid w:val="006B567C"/>
    <w:rsid w:val="006B661F"/>
    <w:rsid w:val="006C0F07"/>
    <w:rsid w:val="006C6182"/>
    <w:rsid w:val="006D19DD"/>
    <w:rsid w:val="006D2338"/>
    <w:rsid w:val="006D4D60"/>
    <w:rsid w:val="006D5B3C"/>
    <w:rsid w:val="006D6144"/>
    <w:rsid w:val="006E23E6"/>
    <w:rsid w:val="006F1171"/>
    <w:rsid w:val="006F1361"/>
    <w:rsid w:val="006F25D3"/>
    <w:rsid w:val="006F4B41"/>
    <w:rsid w:val="006F787C"/>
    <w:rsid w:val="007012C6"/>
    <w:rsid w:val="00705F7F"/>
    <w:rsid w:val="0071046F"/>
    <w:rsid w:val="00710D47"/>
    <w:rsid w:val="007253A1"/>
    <w:rsid w:val="00727B20"/>
    <w:rsid w:val="0073046B"/>
    <w:rsid w:val="00736929"/>
    <w:rsid w:val="00737EDC"/>
    <w:rsid w:val="007423B7"/>
    <w:rsid w:val="00752EA1"/>
    <w:rsid w:val="007636D7"/>
    <w:rsid w:val="00764174"/>
    <w:rsid w:val="00766276"/>
    <w:rsid w:val="00767C05"/>
    <w:rsid w:val="007710FD"/>
    <w:rsid w:val="00771A87"/>
    <w:rsid w:val="007769D2"/>
    <w:rsid w:val="00781CCF"/>
    <w:rsid w:val="00784B7E"/>
    <w:rsid w:val="0078540B"/>
    <w:rsid w:val="007868CA"/>
    <w:rsid w:val="0079360D"/>
    <w:rsid w:val="007A1866"/>
    <w:rsid w:val="007A1E54"/>
    <w:rsid w:val="007A673D"/>
    <w:rsid w:val="007B0953"/>
    <w:rsid w:val="007B3EC4"/>
    <w:rsid w:val="007D1CE2"/>
    <w:rsid w:val="007D2DBF"/>
    <w:rsid w:val="007D66B5"/>
    <w:rsid w:val="007F175C"/>
    <w:rsid w:val="007F648B"/>
    <w:rsid w:val="007F68BF"/>
    <w:rsid w:val="007F6998"/>
    <w:rsid w:val="008017E3"/>
    <w:rsid w:val="00805C4B"/>
    <w:rsid w:val="00816FC8"/>
    <w:rsid w:val="00817956"/>
    <w:rsid w:val="008208FE"/>
    <w:rsid w:val="008216FB"/>
    <w:rsid w:val="00822EBF"/>
    <w:rsid w:val="0082360D"/>
    <w:rsid w:val="008236FE"/>
    <w:rsid w:val="00831BC3"/>
    <w:rsid w:val="008335BA"/>
    <w:rsid w:val="00842D3E"/>
    <w:rsid w:val="00845A6F"/>
    <w:rsid w:val="00851E49"/>
    <w:rsid w:val="008559B0"/>
    <w:rsid w:val="0085792B"/>
    <w:rsid w:val="00864DD9"/>
    <w:rsid w:val="0086784A"/>
    <w:rsid w:val="00870C4A"/>
    <w:rsid w:val="0087414C"/>
    <w:rsid w:val="00884C1F"/>
    <w:rsid w:val="00885751"/>
    <w:rsid w:val="00891672"/>
    <w:rsid w:val="00892BB6"/>
    <w:rsid w:val="008930D0"/>
    <w:rsid w:val="008A5074"/>
    <w:rsid w:val="008B02CC"/>
    <w:rsid w:val="008B2275"/>
    <w:rsid w:val="008B2D0F"/>
    <w:rsid w:val="008D0AB0"/>
    <w:rsid w:val="008D2F10"/>
    <w:rsid w:val="008D474D"/>
    <w:rsid w:val="008D572F"/>
    <w:rsid w:val="008E1E1A"/>
    <w:rsid w:val="008E2A45"/>
    <w:rsid w:val="008E4033"/>
    <w:rsid w:val="008E4A3B"/>
    <w:rsid w:val="008E5F67"/>
    <w:rsid w:val="008E7742"/>
    <w:rsid w:val="008F2214"/>
    <w:rsid w:val="008F2CAE"/>
    <w:rsid w:val="008F561C"/>
    <w:rsid w:val="00901006"/>
    <w:rsid w:val="00902579"/>
    <w:rsid w:val="00903AB8"/>
    <w:rsid w:val="00904CA8"/>
    <w:rsid w:val="009153BE"/>
    <w:rsid w:val="00923C20"/>
    <w:rsid w:val="00926135"/>
    <w:rsid w:val="00926356"/>
    <w:rsid w:val="0094302D"/>
    <w:rsid w:val="00962703"/>
    <w:rsid w:val="009653FB"/>
    <w:rsid w:val="00971532"/>
    <w:rsid w:val="00972B6C"/>
    <w:rsid w:val="0097324F"/>
    <w:rsid w:val="009733A3"/>
    <w:rsid w:val="00980B1C"/>
    <w:rsid w:val="00986FCC"/>
    <w:rsid w:val="009965B2"/>
    <w:rsid w:val="009A087D"/>
    <w:rsid w:val="009A2B6D"/>
    <w:rsid w:val="009A3BFF"/>
    <w:rsid w:val="009A4D06"/>
    <w:rsid w:val="009B1790"/>
    <w:rsid w:val="009B7049"/>
    <w:rsid w:val="009B7AD2"/>
    <w:rsid w:val="009C112A"/>
    <w:rsid w:val="009C421C"/>
    <w:rsid w:val="009C42A7"/>
    <w:rsid w:val="009C7068"/>
    <w:rsid w:val="009D007C"/>
    <w:rsid w:val="009D3CE9"/>
    <w:rsid w:val="009D653E"/>
    <w:rsid w:val="009E17DD"/>
    <w:rsid w:val="009E276B"/>
    <w:rsid w:val="009E460C"/>
    <w:rsid w:val="009E5E62"/>
    <w:rsid w:val="00A010D7"/>
    <w:rsid w:val="00A03345"/>
    <w:rsid w:val="00A039BB"/>
    <w:rsid w:val="00A03E56"/>
    <w:rsid w:val="00A0476D"/>
    <w:rsid w:val="00A06F65"/>
    <w:rsid w:val="00A12DDD"/>
    <w:rsid w:val="00A13DAC"/>
    <w:rsid w:val="00A14708"/>
    <w:rsid w:val="00A15718"/>
    <w:rsid w:val="00A20D2A"/>
    <w:rsid w:val="00A257C0"/>
    <w:rsid w:val="00A268CC"/>
    <w:rsid w:val="00A35A7B"/>
    <w:rsid w:val="00A35E44"/>
    <w:rsid w:val="00A36076"/>
    <w:rsid w:val="00A40BAF"/>
    <w:rsid w:val="00A433E4"/>
    <w:rsid w:val="00A50A58"/>
    <w:rsid w:val="00A60433"/>
    <w:rsid w:val="00A672B4"/>
    <w:rsid w:val="00A74AE1"/>
    <w:rsid w:val="00A75118"/>
    <w:rsid w:val="00A76082"/>
    <w:rsid w:val="00A8015A"/>
    <w:rsid w:val="00A80586"/>
    <w:rsid w:val="00A81193"/>
    <w:rsid w:val="00A8142D"/>
    <w:rsid w:val="00A840DD"/>
    <w:rsid w:val="00A86949"/>
    <w:rsid w:val="00A9345D"/>
    <w:rsid w:val="00A94416"/>
    <w:rsid w:val="00A954FD"/>
    <w:rsid w:val="00A96985"/>
    <w:rsid w:val="00AA40BB"/>
    <w:rsid w:val="00AB5F98"/>
    <w:rsid w:val="00AC05D6"/>
    <w:rsid w:val="00AC1BB1"/>
    <w:rsid w:val="00AC2F32"/>
    <w:rsid w:val="00AC3142"/>
    <w:rsid w:val="00AC3A83"/>
    <w:rsid w:val="00AC3B95"/>
    <w:rsid w:val="00AC6121"/>
    <w:rsid w:val="00AD589B"/>
    <w:rsid w:val="00AE26E5"/>
    <w:rsid w:val="00AE66D1"/>
    <w:rsid w:val="00AE6D82"/>
    <w:rsid w:val="00AF20E6"/>
    <w:rsid w:val="00AF4EF8"/>
    <w:rsid w:val="00AF6FBD"/>
    <w:rsid w:val="00AF7E03"/>
    <w:rsid w:val="00B0105D"/>
    <w:rsid w:val="00B01FAF"/>
    <w:rsid w:val="00B0699A"/>
    <w:rsid w:val="00B14D7F"/>
    <w:rsid w:val="00B154C6"/>
    <w:rsid w:val="00B15C21"/>
    <w:rsid w:val="00B2251D"/>
    <w:rsid w:val="00B2288A"/>
    <w:rsid w:val="00B22F43"/>
    <w:rsid w:val="00B277FA"/>
    <w:rsid w:val="00B32C31"/>
    <w:rsid w:val="00B46909"/>
    <w:rsid w:val="00B51804"/>
    <w:rsid w:val="00B523B4"/>
    <w:rsid w:val="00B629EA"/>
    <w:rsid w:val="00B63C4F"/>
    <w:rsid w:val="00B73F63"/>
    <w:rsid w:val="00B7455A"/>
    <w:rsid w:val="00B8088E"/>
    <w:rsid w:val="00B83DF9"/>
    <w:rsid w:val="00B9067C"/>
    <w:rsid w:val="00B94C7E"/>
    <w:rsid w:val="00BA2D38"/>
    <w:rsid w:val="00BA7F28"/>
    <w:rsid w:val="00BB0B5D"/>
    <w:rsid w:val="00BB45DF"/>
    <w:rsid w:val="00BB6BBF"/>
    <w:rsid w:val="00BC3700"/>
    <w:rsid w:val="00BC61E2"/>
    <w:rsid w:val="00BD5CD3"/>
    <w:rsid w:val="00BE34C6"/>
    <w:rsid w:val="00BE70DE"/>
    <w:rsid w:val="00BE7723"/>
    <w:rsid w:val="00BF63E2"/>
    <w:rsid w:val="00C01025"/>
    <w:rsid w:val="00C0324F"/>
    <w:rsid w:val="00C04475"/>
    <w:rsid w:val="00C05C38"/>
    <w:rsid w:val="00C062F1"/>
    <w:rsid w:val="00C065DE"/>
    <w:rsid w:val="00C06804"/>
    <w:rsid w:val="00C159A1"/>
    <w:rsid w:val="00C15ED3"/>
    <w:rsid w:val="00C34FE9"/>
    <w:rsid w:val="00C4210D"/>
    <w:rsid w:val="00C4356E"/>
    <w:rsid w:val="00C43C22"/>
    <w:rsid w:val="00C54D3B"/>
    <w:rsid w:val="00C56E75"/>
    <w:rsid w:val="00C60514"/>
    <w:rsid w:val="00C61972"/>
    <w:rsid w:val="00C640B9"/>
    <w:rsid w:val="00C706A1"/>
    <w:rsid w:val="00C74603"/>
    <w:rsid w:val="00C8787F"/>
    <w:rsid w:val="00C97F7D"/>
    <w:rsid w:val="00CA3814"/>
    <w:rsid w:val="00CA4D56"/>
    <w:rsid w:val="00CA5EE3"/>
    <w:rsid w:val="00CA6B28"/>
    <w:rsid w:val="00CB4B3D"/>
    <w:rsid w:val="00CB6CB4"/>
    <w:rsid w:val="00CB6E05"/>
    <w:rsid w:val="00CC095E"/>
    <w:rsid w:val="00CC1666"/>
    <w:rsid w:val="00CC1EEB"/>
    <w:rsid w:val="00CC24F0"/>
    <w:rsid w:val="00CC5F80"/>
    <w:rsid w:val="00CC62AE"/>
    <w:rsid w:val="00CD0187"/>
    <w:rsid w:val="00CD1842"/>
    <w:rsid w:val="00CD7554"/>
    <w:rsid w:val="00CE0F80"/>
    <w:rsid w:val="00CE31FA"/>
    <w:rsid w:val="00CE3472"/>
    <w:rsid w:val="00CF088A"/>
    <w:rsid w:val="00CF0D91"/>
    <w:rsid w:val="00CF25A0"/>
    <w:rsid w:val="00CF356E"/>
    <w:rsid w:val="00CF4B91"/>
    <w:rsid w:val="00CF5A89"/>
    <w:rsid w:val="00D0409E"/>
    <w:rsid w:val="00D06CC3"/>
    <w:rsid w:val="00D132AF"/>
    <w:rsid w:val="00D1556E"/>
    <w:rsid w:val="00D231B6"/>
    <w:rsid w:val="00D253CB"/>
    <w:rsid w:val="00D342AB"/>
    <w:rsid w:val="00D35402"/>
    <w:rsid w:val="00D367B3"/>
    <w:rsid w:val="00D4304A"/>
    <w:rsid w:val="00D43BBB"/>
    <w:rsid w:val="00D457AB"/>
    <w:rsid w:val="00D50791"/>
    <w:rsid w:val="00D612FC"/>
    <w:rsid w:val="00D62000"/>
    <w:rsid w:val="00D66135"/>
    <w:rsid w:val="00D75989"/>
    <w:rsid w:val="00D82120"/>
    <w:rsid w:val="00D83C94"/>
    <w:rsid w:val="00D842F0"/>
    <w:rsid w:val="00D85C12"/>
    <w:rsid w:val="00D875D5"/>
    <w:rsid w:val="00D87A1F"/>
    <w:rsid w:val="00D95FF3"/>
    <w:rsid w:val="00DA17D4"/>
    <w:rsid w:val="00DA1F76"/>
    <w:rsid w:val="00DA4A43"/>
    <w:rsid w:val="00DA6972"/>
    <w:rsid w:val="00DC1117"/>
    <w:rsid w:val="00DD1B0B"/>
    <w:rsid w:val="00DD661E"/>
    <w:rsid w:val="00DE2C9A"/>
    <w:rsid w:val="00DE3856"/>
    <w:rsid w:val="00DE7E1C"/>
    <w:rsid w:val="00DF0340"/>
    <w:rsid w:val="00E14936"/>
    <w:rsid w:val="00E15486"/>
    <w:rsid w:val="00E1743D"/>
    <w:rsid w:val="00E24507"/>
    <w:rsid w:val="00E26C6F"/>
    <w:rsid w:val="00E339A9"/>
    <w:rsid w:val="00E352FA"/>
    <w:rsid w:val="00E3657E"/>
    <w:rsid w:val="00E40B72"/>
    <w:rsid w:val="00E51D6E"/>
    <w:rsid w:val="00E65678"/>
    <w:rsid w:val="00E662F1"/>
    <w:rsid w:val="00E7120D"/>
    <w:rsid w:val="00E82F86"/>
    <w:rsid w:val="00E839D1"/>
    <w:rsid w:val="00E90335"/>
    <w:rsid w:val="00E9336A"/>
    <w:rsid w:val="00EA2776"/>
    <w:rsid w:val="00EA3856"/>
    <w:rsid w:val="00EA38E7"/>
    <w:rsid w:val="00EA3E7C"/>
    <w:rsid w:val="00EB6357"/>
    <w:rsid w:val="00EB6960"/>
    <w:rsid w:val="00EC1FAE"/>
    <w:rsid w:val="00EC2F55"/>
    <w:rsid w:val="00EC34DB"/>
    <w:rsid w:val="00EC59E7"/>
    <w:rsid w:val="00EC67AB"/>
    <w:rsid w:val="00EC6B83"/>
    <w:rsid w:val="00EC7825"/>
    <w:rsid w:val="00ED0BC0"/>
    <w:rsid w:val="00ED2AB5"/>
    <w:rsid w:val="00ED3731"/>
    <w:rsid w:val="00EE460C"/>
    <w:rsid w:val="00EE6C96"/>
    <w:rsid w:val="00EE7219"/>
    <w:rsid w:val="00EF059C"/>
    <w:rsid w:val="00EF0D26"/>
    <w:rsid w:val="00EF63D7"/>
    <w:rsid w:val="00F0355E"/>
    <w:rsid w:val="00F04CF6"/>
    <w:rsid w:val="00F05154"/>
    <w:rsid w:val="00F12C05"/>
    <w:rsid w:val="00F254E0"/>
    <w:rsid w:val="00F3246A"/>
    <w:rsid w:val="00F32C4D"/>
    <w:rsid w:val="00F3741E"/>
    <w:rsid w:val="00F45CDC"/>
    <w:rsid w:val="00F50FBA"/>
    <w:rsid w:val="00F5136D"/>
    <w:rsid w:val="00F52DC4"/>
    <w:rsid w:val="00F544C4"/>
    <w:rsid w:val="00F6315B"/>
    <w:rsid w:val="00F63A74"/>
    <w:rsid w:val="00F70ED8"/>
    <w:rsid w:val="00F7306D"/>
    <w:rsid w:val="00F73AC2"/>
    <w:rsid w:val="00F756B5"/>
    <w:rsid w:val="00F76219"/>
    <w:rsid w:val="00F9126F"/>
    <w:rsid w:val="00FA29F2"/>
    <w:rsid w:val="00FB70CD"/>
    <w:rsid w:val="00FB7EB6"/>
    <w:rsid w:val="00FC2C9E"/>
    <w:rsid w:val="00FC496C"/>
    <w:rsid w:val="00FC6EF9"/>
    <w:rsid w:val="00FD0A4D"/>
    <w:rsid w:val="00FD56AF"/>
    <w:rsid w:val="00FE2052"/>
    <w:rsid w:val="00FE4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5DA11389"/>
  <w15:chartTrackingRefBased/>
  <w15:docId w15:val="{79A9DC6F-00D6-4675-A45C-39264F019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Times New Roman" w:eastAsia="ＭＳ 明朝" w:hAnsi="Century Gothic"/>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1C7CF0"/>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B6E05"/>
    <w:rPr>
      <w:rFonts w:ascii="Arial" w:eastAsia="ＭＳ ゴシック" w:hAnsi="Arial"/>
      <w:sz w:val="18"/>
      <w:szCs w:val="18"/>
    </w:rPr>
  </w:style>
  <w:style w:type="character" w:customStyle="1" w:styleId="a7">
    <w:name w:val="吹き出し (文字)"/>
    <w:link w:val="a6"/>
    <w:rsid w:val="00CB6E05"/>
    <w:rPr>
      <w:rFonts w:ascii="Arial" w:eastAsia="ＭＳ ゴシック" w:hAnsi="Arial" w:cs="Times New Roman"/>
      <w:spacing w:val="-5"/>
      <w:sz w:val="18"/>
      <w:szCs w:val="18"/>
    </w:rPr>
  </w:style>
  <w:style w:type="character" w:styleId="a8">
    <w:name w:val="Hyperlink"/>
    <w:rsid w:val="002D2FC2"/>
    <w:rPr>
      <w:color w:val="0563C1"/>
      <w:u w:val="single"/>
    </w:rPr>
  </w:style>
  <w:style w:type="character" w:styleId="a9">
    <w:name w:val="Unresolved Mention"/>
    <w:uiPriority w:val="99"/>
    <w:semiHidden/>
    <w:unhideWhenUsed/>
    <w:rsid w:val="002D2FC2"/>
    <w:rPr>
      <w:color w:val="605E5C"/>
      <w:shd w:val="clear" w:color="auto" w:fill="E1DFDD"/>
    </w:rPr>
  </w:style>
  <w:style w:type="character" w:styleId="aa">
    <w:name w:val="annotation reference"/>
    <w:rsid w:val="00926135"/>
    <w:rPr>
      <w:sz w:val="18"/>
      <w:szCs w:val="18"/>
    </w:rPr>
  </w:style>
  <w:style w:type="paragraph" w:styleId="ab">
    <w:name w:val="annotation text"/>
    <w:basedOn w:val="a"/>
    <w:link w:val="ac"/>
    <w:rsid w:val="00926135"/>
    <w:pPr>
      <w:jc w:val="left"/>
    </w:pPr>
  </w:style>
  <w:style w:type="character" w:customStyle="1" w:styleId="ac">
    <w:name w:val="コメント文字列 (文字)"/>
    <w:link w:val="ab"/>
    <w:rsid w:val="00926135"/>
    <w:rPr>
      <w:rFonts w:ascii="Times New Roman" w:eastAsia="ＭＳ 明朝" w:hAnsi="Century Gothic"/>
      <w:spacing w:val="-5"/>
      <w:sz w:val="21"/>
    </w:rPr>
  </w:style>
  <w:style w:type="paragraph" w:styleId="ad">
    <w:name w:val="annotation subject"/>
    <w:basedOn w:val="ab"/>
    <w:next w:val="ab"/>
    <w:link w:val="ae"/>
    <w:rsid w:val="00926135"/>
    <w:rPr>
      <w:b/>
      <w:bCs/>
    </w:rPr>
  </w:style>
  <w:style w:type="character" w:customStyle="1" w:styleId="ae">
    <w:name w:val="コメント内容 (文字)"/>
    <w:link w:val="ad"/>
    <w:rsid w:val="00926135"/>
    <w:rPr>
      <w:rFonts w:ascii="Times New Roman" w:eastAsia="ＭＳ 明朝" w:hAnsi="Century Gothic"/>
      <w:b/>
      <w:bCs/>
      <w:spacing w:val="-5"/>
      <w:sz w:val="21"/>
    </w:rPr>
  </w:style>
  <w:style w:type="paragraph" w:styleId="Web">
    <w:name w:val="Normal (Web)"/>
    <w:basedOn w:val="a"/>
    <w:uiPriority w:val="99"/>
    <w:unhideWhenUsed/>
    <w:rsid w:val="00771A87"/>
    <w:pPr>
      <w:widowControl/>
      <w:adjustRightInd/>
      <w:spacing w:before="100" w:beforeAutospacing="1" w:after="100" w:afterAutospacing="1"/>
      <w:jc w:val="left"/>
      <w:textAlignment w:val="auto"/>
    </w:pPr>
    <w:rPr>
      <w:rFonts w:ascii="ＭＳ Ｐゴシック" w:eastAsia="ＭＳ Ｐゴシック" w:hAnsi="ＭＳ Ｐゴシック" w:cs="ＭＳ Ｐゴシック"/>
      <w:spacing w:val="0"/>
      <w:sz w:val="24"/>
      <w:szCs w:val="24"/>
    </w:rPr>
  </w:style>
  <w:style w:type="paragraph" w:styleId="af">
    <w:name w:val="List Paragraph"/>
    <w:basedOn w:val="a"/>
    <w:uiPriority w:val="34"/>
    <w:qFormat/>
    <w:rsid w:val="009E276B"/>
    <w:pPr>
      <w:ind w:leftChars="400" w:left="840"/>
    </w:pPr>
  </w:style>
  <w:style w:type="character" w:styleId="af0">
    <w:name w:val="FollowedHyperlink"/>
    <w:basedOn w:val="a0"/>
    <w:rsid w:val="00CA6B2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1768">
      <w:bodyDiv w:val="1"/>
      <w:marLeft w:val="0"/>
      <w:marRight w:val="0"/>
      <w:marTop w:val="0"/>
      <w:marBottom w:val="0"/>
      <w:divBdr>
        <w:top w:val="none" w:sz="0" w:space="0" w:color="auto"/>
        <w:left w:val="none" w:sz="0" w:space="0" w:color="auto"/>
        <w:bottom w:val="none" w:sz="0" w:space="0" w:color="auto"/>
        <w:right w:val="none" w:sz="0" w:space="0" w:color="auto"/>
      </w:divBdr>
    </w:div>
    <w:div w:id="495340352">
      <w:bodyDiv w:val="1"/>
      <w:marLeft w:val="0"/>
      <w:marRight w:val="0"/>
      <w:marTop w:val="0"/>
      <w:marBottom w:val="0"/>
      <w:divBdr>
        <w:top w:val="none" w:sz="0" w:space="0" w:color="auto"/>
        <w:left w:val="none" w:sz="0" w:space="0" w:color="auto"/>
        <w:bottom w:val="none" w:sz="0" w:space="0" w:color="auto"/>
        <w:right w:val="none" w:sz="0" w:space="0" w:color="auto"/>
      </w:divBdr>
    </w:div>
    <w:div w:id="609699017">
      <w:bodyDiv w:val="1"/>
      <w:marLeft w:val="0"/>
      <w:marRight w:val="0"/>
      <w:marTop w:val="0"/>
      <w:marBottom w:val="0"/>
      <w:divBdr>
        <w:top w:val="none" w:sz="0" w:space="0" w:color="auto"/>
        <w:left w:val="none" w:sz="0" w:space="0" w:color="auto"/>
        <w:bottom w:val="none" w:sz="0" w:space="0" w:color="auto"/>
        <w:right w:val="none" w:sz="0" w:space="0" w:color="auto"/>
      </w:divBdr>
    </w:div>
    <w:div w:id="795293625">
      <w:bodyDiv w:val="1"/>
      <w:marLeft w:val="0"/>
      <w:marRight w:val="0"/>
      <w:marTop w:val="0"/>
      <w:marBottom w:val="0"/>
      <w:divBdr>
        <w:top w:val="none" w:sz="0" w:space="0" w:color="auto"/>
        <w:left w:val="none" w:sz="0" w:space="0" w:color="auto"/>
        <w:bottom w:val="none" w:sz="0" w:space="0" w:color="auto"/>
        <w:right w:val="none" w:sz="0" w:space="0" w:color="auto"/>
      </w:divBdr>
    </w:div>
    <w:div w:id="845904346">
      <w:bodyDiv w:val="1"/>
      <w:marLeft w:val="0"/>
      <w:marRight w:val="0"/>
      <w:marTop w:val="0"/>
      <w:marBottom w:val="0"/>
      <w:divBdr>
        <w:top w:val="none" w:sz="0" w:space="0" w:color="auto"/>
        <w:left w:val="none" w:sz="0" w:space="0" w:color="auto"/>
        <w:bottom w:val="none" w:sz="0" w:space="0" w:color="auto"/>
        <w:right w:val="none" w:sz="0" w:space="0" w:color="auto"/>
      </w:divBdr>
    </w:div>
    <w:div w:id="964384977">
      <w:bodyDiv w:val="1"/>
      <w:marLeft w:val="0"/>
      <w:marRight w:val="0"/>
      <w:marTop w:val="0"/>
      <w:marBottom w:val="0"/>
      <w:divBdr>
        <w:top w:val="none" w:sz="0" w:space="0" w:color="auto"/>
        <w:left w:val="none" w:sz="0" w:space="0" w:color="auto"/>
        <w:bottom w:val="none" w:sz="0" w:space="0" w:color="auto"/>
        <w:right w:val="none" w:sz="0" w:space="0" w:color="auto"/>
      </w:divBdr>
    </w:div>
    <w:div w:id="1347906390">
      <w:bodyDiv w:val="1"/>
      <w:marLeft w:val="0"/>
      <w:marRight w:val="0"/>
      <w:marTop w:val="0"/>
      <w:marBottom w:val="0"/>
      <w:divBdr>
        <w:top w:val="none" w:sz="0" w:space="0" w:color="auto"/>
        <w:left w:val="none" w:sz="0" w:space="0" w:color="auto"/>
        <w:bottom w:val="none" w:sz="0" w:space="0" w:color="auto"/>
        <w:right w:val="none" w:sz="0" w:space="0" w:color="auto"/>
      </w:divBdr>
    </w:div>
    <w:div w:id="1487043368">
      <w:bodyDiv w:val="1"/>
      <w:marLeft w:val="0"/>
      <w:marRight w:val="0"/>
      <w:marTop w:val="0"/>
      <w:marBottom w:val="0"/>
      <w:divBdr>
        <w:top w:val="none" w:sz="0" w:space="0" w:color="auto"/>
        <w:left w:val="none" w:sz="0" w:space="0" w:color="auto"/>
        <w:bottom w:val="none" w:sz="0" w:space="0" w:color="auto"/>
        <w:right w:val="none" w:sz="0" w:space="0" w:color="auto"/>
      </w:divBdr>
    </w:div>
    <w:div w:id="1545212886">
      <w:bodyDiv w:val="1"/>
      <w:marLeft w:val="0"/>
      <w:marRight w:val="0"/>
      <w:marTop w:val="0"/>
      <w:marBottom w:val="0"/>
      <w:divBdr>
        <w:top w:val="none" w:sz="0" w:space="0" w:color="auto"/>
        <w:left w:val="none" w:sz="0" w:space="0" w:color="auto"/>
        <w:bottom w:val="none" w:sz="0" w:space="0" w:color="auto"/>
        <w:right w:val="none" w:sz="0" w:space="0" w:color="auto"/>
      </w:divBdr>
    </w:div>
    <w:div w:id="1554849870">
      <w:bodyDiv w:val="1"/>
      <w:marLeft w:val="0"/>
      <w:marRight w:val="0"/>
      <w:marTop w:val="0"/>
      <w:marBottom w:val="0"/>
      <w:divBdr>
        <w:top w:val="none" w:sz="0" w:space="0" w:color="auto"/>
        <w:left w:val="none" w:sz="0" w:space="0" w:color="auto"/>
        <w:bottom w:val="none" w:sz="0" w:space="0" w:color="auto"/>
        <w:right w:val="none" w:sz="0" w:space="0" w:color="auto"/>
      </w:divBdr>
    </w:div>
    <w:div w:id="1639071047">
      <w:bodyDiv w:val="1"/>
      <w:marLeft w:val="0"/>
      <w:marRight w:val="0"/>
      <w:marTop w:val="0"/>
      <w:marBottom w:val="0"/>
      <w:divBdr>
        <w:top w:val="none" w:sz="0" w:space="0" w:color="auto"/>
        <w:left w:val="none" w:sz="0" w:space="0" w:color="auto"/>
        <w:bottom w:val="none" w:sz="0" w:space="0" w:color="auto"/>
        <w:right w:val="none" w:sz="0" w:space="0" w:color="auto"/>
      </w:divBdr>
    </w:div>
    <w:div w:id="212638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atsdr.cdc.gov/ToxProfiles/tp9.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kasozai.gr.jp/wordpress/wp-ontent/uploads/2022/12/&#21487;&#22609;&#21092;&#12452;&#12531;&#12501;&#12457;&#12513;&#12540;&#12471;&#12519;&#12531;No.32&#26368;&#32066;&#29256;-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808</Words>
  <Characters>4607</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ここでの１頁はニュースの0</vt:lpstr>
      <vt:lpstr>ここでの１頁はニュースの0</vt:lpstr>
    </vt:vector>
  </TitlesOfParts>
  <Company>社団法人　電線総合技術ｾﾝﾀ-</Company>
  <LinksUpToDate>false</LinksUpToDate>
  <CharactersWithSpaces>5405</CharactersWithSpaces>
  <SharedDoc>false</SharedDoc>
  <HLinks>
    <vt:vector size="12" baseType="variant">
      <vt:variant>
        <vt:i4>1376267</vt:i4>
      </vt:variant>
      <vt:variant>
        <vt:i4>3</vt:i4>
      </vt:variant>
      <vt:variant>
        <vt:i4>0</vt:i4>
      </vt:variant>
      <vt:variant>
        <vt:i4>5</vt:i4>
      </vt:variant>
      <vt:variant>
        <vt:lpwstr>https://www.atsdr.cdc.gov/ToxProfiles/tp9.pdf</vt:lpwstr>
      </vt:variant>
      <vt:variant>
        <vt:lpwstr/>
      </vt:variant>
      <vt:variant>
        <vt:i4>3276870</vt:i4>
      </vt:variant>
      <vt:variant>
        <vt:i4>0</vt:i4>
      </vt:variant>
      <vt:variant>
        <vt:i4>0</vt:i4>
      </vt:variant>
      <vt:variant>
        <vt:i4>5</vt:i4>
      </vt:variant>
      <vt:variant>
        <vt:lpwstr>https://www.meti.go.jp/policy/chemical_management/kasinhou/files/information/ra/ra1_210330_10.pdf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ここでの１頁はニュースの0</dc:title>
  <dc:subject/>
  <dc:creator>細川</dc:creator>
  <cp:keywords/>
  <cp:lastModifiedBy>osada kazuyasu/0399802/長田　和耕</cp:lastModifiedBy>
  <cp:revision>8</cp:revision>
  <cp:lastPrinted>2018-09-05T07:49:00Z</cp:lastPrinted>
  <dcterms:created xsi:type="dcterms:W3CDTF">2024-10-16T09:51:00Z</dcterms:created>
  <dcterms:modified xsi:type="dcterms:W3CDTF">2024-10-18T02:20:00Z</dcterms:modified>
</cp:coreProperties>
</file>